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9"/>
        <w:gridCol w:w="4643"/>
      </w:tblGrid>
      <w:tr w:rsidR="00A46045" w:rsidRPr="00AD3D25" w:rsidTr="001B6D1A">
        <w:tc>
          <w:tcPr>
            <w:tcW w:w="4429" w:type="dxa"/>
          </w:tcPr>
          <w:p w:rsidR="00A46045" w:rsidRPr="00081F39" w:rsidRDefault="008F26B2" w:rsidP="008E2757">
            <w:pPr>
              <w:spacing w:line="276" w:lineRule="auto"/>
              <w:rPr>
                <w:rFonts w:cstheme="minorHAnsi"/>
                <w:bCs/>
              </w:rPr>
            </w:pPr>
            <w:r>
              <w:rPr>
                <w:rFonts w:cstheme="minorHAnsi"/>
                <w:bCs/>
              </w:rPr>
              <w:t>Numer sprawy: In.271.6.2025</w:t>
            </w:r>
          </w:p>
          <w:p w:rsidR="00A46045" w:rsidRPr="00081F39" w:rsidRDefault="00A46045" w:rsidP="008E2757">
            <w:pPr>
              <w:spacing w:line="276" w:lineRule="auto"/>
              <w:rPr>
                <w:rFonts w:cstheme="minorHAnsi"/>
                <w:bCs/>
              </w:rPr>
            </w:pPr>
          </w:p>
          <w:p w:rsidR="00A46045" w:rsidRPr="00081F39" w:rsidRDefault="00A46045" w:rsidP="008E2757">
            <w:pPr>
              <w:spacing w:line="276" w:lineRule="auto"/>
              <w:rPr>
                <w:rFonts w:cstheme="minorHAnsi"/>
                <w:bCs/>
              </w:rPr>
            </w:pPr>
          </w:p>
          <w:p w:rsidR="00A46045" w:rsidRDefault="00A46045" w:rsidP="008E2757">
            <w:pPr>
              <w:spacing w:line="276" w:lineRule="auto"/>
              <w:rPr>
                <w:rFonts w:cstheme="minorHAnsi"/>
                <w:bCs/>
              </w:rPr>
            </w:pPr>
          </w:p>
          <w:p w:rsidR="00A46045" w:rsidRPr="00081F39" w:rsidRDefault="00A46045" w:rsidP="008E2757">
            <w:pPr>
              <w:spacing w:line="276" w:lineRule="auto"/>
              <w:rPr>
                <w:rFonts w:cstheme="minorHAnsi"/>
                <w:bCs/>
              </w:rPr>
            </w:pPr>
          </w:p>
          <w:p w:rsidR="00A46045" w:rsidRPr="00081F39" w:rsidRDefault="00A46045" w:rsidP="008E2757">
            <w:pPr>
              <w:spacing w:line="276" w:lineRule="auto"/>
              <w:rPr>
                <w:rFonts w:cstheme="minorHAnsi"/>
                <w:bCs/>
              </w:rPr>
            </w:pPr>
          </w:p>
        </w:tc>
        <w:tc>
          <w:tcPr>
            <w:tcW w:w="4643" w:type="dxa"/>
          </w:tcPr>
          <w:p w:rsidR="00A46045" w:rsidRPr="00081F39" w:rsidRDefault="008F26B2" w:rsidP="008E2757">
            <w:pPr>
              <w:spacing w:line="276" w:lineRule="auto"/>
              <w:jc w:val="right"/>
              <w:rPr>
                <w:rFonts w:cstheme="minorHAnsi"/>
                <w:bCs/>
              </w:rPr>
            </w:pPr>
            <w:r>
              <w:rPr>
                <w:rFonts w:cstheme="minorHAnsi"/>
                <w:bCs/>
              </w:rPr>
              <w:t>Michów, dnia 30.05.2025r.</w:t>
            </w:r>
          </w:p>
          <w:p w:rsidR="00A46045" w:rsidRPr="00081F39" w:rsidRDefault="00A46045" w:rsidP="008E2757">
            <w:pPr>
              <w:tabs>
                <w:tab w:val="left" w:pos="1068"/>
              </w:tabs>
              <w:spacing w:line="276" w:lineRule="auto"/>
              <w:rPr>
                <w:rFonts w:cstheme="minorHAnsi"/>
              </w:rPr>
            </w:pPr>
          </w:p>
        </w:tc>
      </w:tr>
      <w:tr w:rsidR="00A46045" w:rsidRPr="00AD3D25" w:rsidTr="001B6D1A">
        <w:tc>
          <w:tcPr>
            <w:tcW w:w="9072" w:type="dxa"/>
            <w:gridSpan w:val="2"/>
            <w:vAlign w:val="center"/>
          </w:tcPr>
          <w:p w:rsidR="00A46045" w:rsidRDefault="00A46045" w:rsidP="008E2757">
            <w:pPr>
              <w:spacing w:line="276" w:lineRule="auto"/>
              <w:jc w:val="center"/>
              <w:rPr>
                <w:sz w:val="44"/>
                <w:szCs w:val="44"/>
              </w:rPr>
            </w:pPr>
            <w:r w:rsidRPr="00A46045">
              <w:rPr>
                <w:sz w:val="44"/>
                <w:szCs w:val="44"/>
              </w:rPr>
              <w:t>Szczegółowy Opis Przedmiotu Zamówienia</w:t>
            </w:r>
          </w:p>
          <w:p w:rsidR="0089651A" w:rsidRDefault="0089651A" w:rsidP="0089651A">
            <w:pPr>
              <w:spacing w:line="276" w:lineRule="auto"/>
              <w:jc w:val="center"/>
              <w:rPr>
                <w:sz w:val="44"/>
                <w:szCs w:val="44"/>
              </w:rPr>
            </w:pPr>
          </w:p>
          <w:p w:rsidR="00B0696D" w:rsidRPr="00B0696D" w:rsidRDefault="00AF7FBB" w:rsidP="00B0696D">
            <w:pPr>
              <w:spacing w:line="276" w:lineRule="auto"/>
              <w:jc w:val="center"/>
              <w:rPr>
                <w:sz w:val="44"/>
                <w:szCs w:val="44"/>
              </w:rPr>
            </w:pPr>
            <w:r>
              <w:rPr>
                <w:sz w:val="44"/>
                <w:szCs w:val="44"/>
              </w:rPr>
              <w:t xml:space="preserve">pn. </w:t>
            </w:r>
            <w:r w:rsidR="00B0696D" w:rsidRPr="00B0696D">
              <w:rPr>
                <w:sz w:val="44"/>
                <w:szCs w:val="44"/>
              </w:rPr>
              <w:t>Przeprowadzenie audyt</w:t>
            </w:r>
            <w:r w:rsidR="00E31FA7">
              <w:rPr>
                <w:sz w:val="44"/>
                <w:szCs w:val="44"/>
              </w:rPr>
              <w:t>u</w:t>
            </w:r>
            <w:r w:rsidR="00B0696D" w:rsidRPr="00B0696D">
              <w:rPr>
                <w:sz w:val="44"/>
                <w:szCs w:val="44"/>
              </w:rPr>
              <w:t xml:space="preserve"> KRI</w:t>
            </w:r>
            <w:r w:rsidR="005D3DCF">
              <w:rPr>
                <w:sz w:val="44"/>
                <w:szCs w:val="44"/>
              </w:rPr>
              <w:t xml:space="preserve"> oraz aktualizacj</w:t>
            </w:r>
            <w:r w:rsidR="007B72C4">
              <w:rPr>
                <w:sz w:val="44"/>
                <w:szCs w:val="44"/>
              </w:rPr>
              <w:t>a</w:t>
            </w:r>
            <w:r w:rsidR="005D3DCF">
              <w:rPr>
                <w:sz w:val="44"/>
                <w:szCs w:val="44"/>
              </w:rPr>
              <w:t xml:space="preserve"> i wdrożenie Systemu Zarządzania Bezpieczeństwem Informacji</w:t>
            </w:r>
            <w:r w:rsidR="00E77282">
              <w:rPr>
                <w:sz w:val="44"/>
                <w:szCs w:val="44"/>
              </w:rPr>
              <w:t xml:space="preserve"> wraz z przeprowadzeniem szkoleń</w:t>
            </w:r>
          </w:p>
          <w:p w:rsidR="0089651A" w:rsidRDefault="00B0696D" w:rsidP="00B0696D">
            <w:pPr>
              <w:spacing w:line="276" w:lineRule="auto"/>
              <w:jc w:val="center"/>
              <w:rPr>
                <w:sz w:val="44"/>
                <w:szCs w:val="44"/>
              </w:rPr>
            </w:pPr>
            <w:r w:rsidRPr="00B0696D">
              <w:rPr>
                <w:sz w:val="44"/>
                <w:szCs w:val="44"/>
              </w:rPr>
              <w:t xml:space="preserve">dla </w:t>
            </w:r>
            <w:r w:rsidR="00E77282">
              <w:rPr>
                <w:sz w:val="44"/>
                <w:szCs w:val="44"/>
              </w:rPr>
              <w:t xml:space="preserve">Urzędu </w:t>
            </w:r>
            <w:r w:rsidR="00587EFF">
              <w:rPr>
                <w:sz w:val="44"/>
                <w:szCs w:val="44"/>
              </w:rPr>
              <w:t xml:space="preserve">Gminy </w:t>
            </w:r>
            <w:r w:rsidR="000D6C08">
              <w:rPr>
                <w:sz w:val="44"/>
                <w:szCs w:val="44"/>
              </w:rPr>
              <w:t>Michów</w:t>
            </w:r>
          </w:p>
          <w:p w:rsidR="00A46045" w:rsidRDefault="00A46045" w:rsidP="008E2757">
            <w:pPr>
              <w:spacing w:line="276" w:lineRule="auto"/>
              <w:jc w:val="center"/>
              <w:rPr>
                <w:sz w:val="28"/>
                <w:szCs w:val="28"/>
              </w:rPr>
            </w:pPr>
          </w:p>
          <w:p w:rsidR="00A46045" w:rsidRPr="00A46045" w:rsidRDefault="00A46045" w:rsidP="008E2757">
            <w:pPr>
              <w:spacing w:line="276" w:lineRule="auto"/>
              <w:jc w:val="center"/>
              <w:rPr>
                <w:sz w:val="28"/>
                <w:szCs w:val="28"/>
              </w:rPr>
            </w:pPr>
            <w:bookmarkStart w:id="0" w:name="_Hlk96781142"/>
          </w:p>
          <w:bookmarkEnd w:id="0"/>
          <w:p w:rsidR="00A46045" w:rsidRPr="00AD3D25" w:rsidRDefault="00A46045" w:rsidP="008E2757">
            <w:pPr>
              <w:spacing w:line="276" w:lineRule="auto"/>
              <w:jc w:val="center"/>
              <w:rPr>
                <w:rFonts w:ascii="Times New Roman" w:hAnsi="Times New Roman" w:cs="Times New Roman"/>
                <w:bCs/>
                <w:sz w:val="24"/>
                <w:szCs w:val="24"/>
              </w:rPr>
            </w:pPr>
          </w:p>
        </w:tc>
      </w:tr>
    </w:tbl>
    <w:p w:rsidR="00A46045" w:rsidRDefault="00A46045" w:rsidP="008E2757">
      <w:pPr>
        <w:spacing w:line="276" w:lineRule="auto"/>
        <w:jc w:val="right"/>
      </w:pPr>
    </w:p>
    <w:p w:rsidR="00A46045" w:rsidRDefault="00A46045" w:rsidP="008E2757">
      <w:pPr>
        <w:spacing w:line="276" w:lineRule="auto"/>
      </w:pPr>
      <w:r>
        <w:br w:type="page"/>
      </w:r>
    </w:p>
    <w:p w:rsidR="00A46045" w:rsidRDefault="00A4604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rsidR="00EF3894" w:rsidRDefault="00EF3894" w:rsidP="008E2757">
          <w:pPr>
            <w:pStyle w:val="Nagwekspisutreci"/>
            <w:spacing w:line="276" w:lineRule="auto"/>
          </w:pPr>
          <w:r>
            <w:t>Spis treści</w:t>
          </w:r>
        </w:p>
        <w:p w:rsidR="00B9115C" w:rsidRDefault="00A7171E">
          <w:pPr>
            <w:pStyle w:val="Spistreci1"/>
            <w:tabs>
              <w:tab w:val="left" w:pos="480"/>
              <w:tab w:val="right" w:leader="dot" w:pos="9062"/>
            </w:tabs>
            <w:rPr>
              <w:rFonts w:eastAsiaTheme="minorEastAsia"/>
              <w:noProof/>
              <w:kern w:val="2"/>
              <w:sz w:val="24"/>
              <w:szCs w:val="24"/>
              <w:lang w:eastAsia="pl-PL"/>
            </w:rPr>
          </w:pPr>
          <w:r w:rsidRPr="00A7171E">
            <w:fldChar w:fldCharType="begin"/>
          </w:r>
          <w:r w:rsidR="00EF3894">
            <w:instrText xml:space="preserve"> TOC \o "1-3" \h \z \u </w:instrText>
          </w:r>
          <w:r w:rsidRPr="00A7171E">
            <w:fldChar w:fldCharType="separate"/>
          </w:r>
          <w:hyperlink w:anchor="_Toc199087731" w:history="1">
            <w:r w:rsidR="00B9115C" w:rsidRPr="005209A6">
              <w:rPr>
                <w:rStyle w:val="Hipercze"/>
                <w:noProof/>
              </w:rPr>
              <w:t>1.</w:t>
            </w:r>
            <w:r w:rsidR="00B9115C">
              <w:rPr>
                <w:rFonts w:eastAsiaTheme="minorEastAsia"/>
                <w:noProof/>
                <w:kern w:val="2"/>
                <w:sz w:val="24"/>
                <w:szCs w:val="24"/>
                <w:lang w:eastAsia="pl-PL"/>
              </w:rPr>
              <w:tab/>
            </w:r>
            <w:r w:rsidR="00B9115C" w:rsidRPr="005209A6">
              <w:rPr>
                <w:rStyle w:val="Hipercze"/>
                <w:noProof/>
              </w:rPr>
              <w:t>Przedmiot zamówienia</w:t>
            </w:r>
            <w:r w:rsidR="00B9115C">
              <w:rPr>
                <w:noProof/>
                <w:webHidden/>
              </w:rPr>
              <w:tab/>
            </w:r>
            <w:r>
              <w:rPr>
                <w:noProof/>
                <w:webHidden/>
              </w:rPr>
              <w:fldChar w:fldCharType="begin"/>
            </w:r>
            <w:r w:rsidR="00B9115C">
              <w:rPr>
                <w:noProof/>
                <w:webHidden/>
              </w:rPr>
              <w:instrText xml:space="preserve"> PAGEREF _Toc199087731 \h </w:instrText>
            </w:r>
            <w:r>
              <w:rPr>
                <w:noProof/>
                <w:webHidden/>
              </w:rPr>
            </w:r>
            <w:r>
              <w:rPr>
                <w:noProof/>
                <w:webHidden/>
              </w:rPr>
              <w:fldChar w:fldCharType="separate"/>
            </w:r>
            <w:r w:rsidR="00B9115C">
              <w:rPr>
                <w:noProof/>
                <w:webHidden/>
              </w:rPr>
              <w:t>3</w:t>
            </w:r>
            <w:r>
              <w:rPr>
                <w:noProof/>
                <w:webHidden/>
              </w:rPr>
              <w:fldChar w:fldCharType="end"/>
            </w:r>
          </w:hyperlink>
        </w:p>
        <w:p w:rsidR="00B9115C" w:rsidRDefault="00A7171E">
          <w:pPr>
            <w:pStyle w:val="Spistreci1"/>
            <w:tabs>
              <w:tab w:val="left" w:pos="720"/>
              <w:tab w:val="right" w:leader="dot" w:pos="9062"/>
            </w:tabs>
            <w:rPr>
              <w:rFonts w:eastAsiaTheme="minorEastAsia"/>
              <w:noProof/>
              <w:kern w:val="2"/>
              <w:sz w:val="24"/>
              <w:szCs w:val="24"/>
              <w:lang w:eastAsia="pl-PL"/>
            </w:rPr>
          </w:pPr>
          <w:hyperlink w:anchor="_Toc199087732" w:history="1">
            <w:r w:rsidR="00B9115C" w:rsidRPr="005209A6">
              <w:rPr>
                <w:rStyle w:val="Hipercze"/>
                <w:noProof/>
              </w:rPr>
              <w:t>1.1.</w:t>
            </w:r>
            <w:r w:rsidR="00B9115C">
              <w:rPr>
                <w:rFonts w:eastAsiaTheme="minorEastAsia"/>
                <w:noProof/>
                <w:kern w:val="2"/>
                <w:sz w:val="24"/>
                <w:szCs w:val="24"/>
                <w:lang w:eastAsia="pl-PL"/>
              </w:rPr>
              <w:tab/>
            </w:r>
            <w:r w:rsidR="00B9115C" w:rsidRPr="005209A6">
              <w:rPr>
                <w:rStyle w:val="Hipercze"/>
                <w:noProof/>
              </w:rPr>
              <w:t>Zestawienie ilościowe.</w:t>
            </w:r>
            <w:r w:rsidR="00B9115C">
              <w:rPr>
                <w:noProof/>
                <w:webHidden/>
              </w:rPr>
              <w:tab/>
            </w:r>
            <w:r>
              <w:rPr>
                <w:noProof/>
                <w:webHidden/>
              </w:rPr>
              <w:fldChar w:fldCharType="begin"/>
            </w:r>
            <w:r w:rsidR="00B9115C">
              <w:rPr>
                <w:noProof/>
                <w:webHidden/>
              </w:rPr>
              <w:instrText xml:space="preserve"> PAGEREF _Toc199087732 \h </w:instrText>
            </w:r>
            <w:r>
              <w:rPr>
                <w:noProof/>
                <w:webHidden/>
              </w:rPr>
            </w:r>
            <w:r>
              <w:rPr>
                <w:noProof/>
                <w:webHidden/>
              </w:rPr>
              <w:fldChar w:fldCharType="separate"/>
            </w:r>
            <w:r w:rsidR="00B9115C">
              <w:rPr>
                <w:noProof/>
                <w:webHidden/>
              </w:rPr>
              <w:t>3</w:t>
            </w:r>
            <w:r>
              <w:rPr>
                <w:noProof/>
                <w:webHidden/>
              </w:rPr>
              <w:fldChar w:fldCharType="end"/>
            </w:r>
          </w:hyperlink>
        </w:p>
        <w:p w:rsidR="00B9115C" w:rsidRDefault="00A7171E">
          <w:pPr>
            <w:pStyle w:val="Spistreci1"/>
            <w:tabs>
              <w:tab w:val="left" w:pos="720"/>
              <w:tab w:val="right" w:leader="dot" w:pos="9062"/>
            </w:tabs>
            <w:rPr>
              <w:rFonts w:eastAsiaTheme="minorEastAsia"/>
              <w:noProof/>
              <w:kern w:val="2"/>
              <w:sz w:val="24"/>
              <w:szCs w:val="24"/>
              <w:lang w:eastAsia="pl-PL"/>
            </w:rPr>
          </w:pPr>
          <w:hyperlink w:anchor="_Toc199087733" w:history="1">
            <w:r w:rsidR="00B9115C" w:rsidRPr="005209A6">
              <w:rPr>
                <w:rStyle w:val="Hipercze"/>
                <w:noProof/>
              </w:rPr>
              <w:t>1.2.</w:t>
            </w:r>
            <w:r w:rsidR="00B9115C">
              <w:rPr>
                <w:rFonts w:eastAsiaTheme="minorEastAsia"/>
                <w:noProof/>
                <w:kern w:val="2"/>
                <w:sz w:val="24"/>
                <w:szCs w:val="24"/>
                <w:lang w:eastAsia="pl-PL"/>
              </w:rPr>
              <w:tab/>
            </w:r>
            <w:r w:rsidR="00B9115C" w:rsidRPr="005209A6">
              <w:rPr>
                <w:rStyle w:val="Hipercze"/>
                <w:noProof/>
              </w:rPr>
              <w:t>Termin realizacji zamówienia.</w:t>
            </w:r>
            <w:r w:rsidR="00B9115C">
              <w:rPr>
                <w:noProof/>
                <w:webHidden/>
              </w:rPr>
              <w:tab/>
            </w:r>
            <w:r>
              <w:rPr>
                <w:noProof/>
                <w:webHidden/>
              </w:rPr>
              <w:fldChar w:fldCharType="begin"/>
            </w:r>
            <w:r w:rsidR="00B9115C">
              <w:rPr>
                <w:noProof/>
                <w:webHidden/>
              </w:rPr>
              <w:instrText xml:space="preserve"> PAGEREF _Toc199087733 \h </w:instrText>
            </w:r>
            <w:r>
              <w:rPr>
                <w:noProof/>
                <w:webHidden/>
              </w:rPr>
            </w:r>
            <w:r>
              <w:rPr>
                <w:noProof/>
                <w:webHidden/>
              </w:rPr>
              <w:fldChar w:fldCharType="separate"/>
            </w:r>
            <w:r w:rsidR="00B9115C">
              <w:rPr>
                <w:noProof/>
                <w:webHidden/>
              </w:rPr>
              <w:t>3</w:t>
            </w:r>
            <w:r>
              <w:rPr>
                <w:noProof/>
                <w:webHidden/>
              </w:rPr>
              <w:fldChar w:fldCharType="end"/>
            </w:r>
          </w:hyperlink>
        </w:p>
        <w:p w:rsidR="00B9115C" w:rsidRDefault="00A7171E">
          <w:pPr>
            <w:pStyle w:val="Spistreci1"/>
            <w:tabs>
              <w:tab w:val="left" w:pos="720"/>
              <w:tab w:val="right" w:leader="dot" w:pos="9062"/>
            </w:tabs>
            <w:rPr>
              <w:rFonts w:eastAsiaTheme="minorEastAsia"/>
              <w:noProof/>
              <w:kern w:val="2"/>
              <w:sz w:val="24"/>
              <w:szCs w:val="24"/>
              <w:lang w:eastAsia="pl-PL"/>
            </w:rPr>
          </w:pPr>
          <w:hyperlink w:anchor="_Toc199087734" w:history="1">
            <w:r w:rsidR="00B9115C" w:rsidRPr="005209A6">
              <w:rPr>
                <w:rStyle w:val="Hipercze"/>
                <w:noProof/>
              </w:rPr>
              <w:t>1.3.</w:t>
            </w:r>
            <w:r w:rsidR="00B9115C">
              <w:rPr>
                <w:rFonts w:eastAsiaTheme="minorEastAsia"/>
                <w:noProof/>
                <w:kern w:val="2"/>
                <w:sz w:val="24"/>
                <w:szCs w:val="24"/>
                <w:lang w:eastAsia="pl-PL"/>
              </w:rPr>
              <w:tab/>
            </w:r>
            <w:r w:rsidR="00B9115C" w:rsidRPr="005209A6">
              <w:rPr>
                <w:rStyle w:val="Hipercze"/>
                <w:noProof/>
              </w:rPr>
              <w:t>Wymagania ogólne.</w:t>
            </w:r>
            <w:r w:rsidR="00B9115C">
              <w:rPr>
                <w:noProof/>
                <w:webHidden/>
              </w:rPr>
              <w:tab/>
            </w:r>
            <w:r>
              <w:rPr>
                <w:noProof/>
                <w:webHidden/>
              </w:rPr>
              <w:fldChar w:fldCharType="begin"/>
            </w:r>
            <w:r w:rsidR="00B9115C">
              <w:rPr>
                <w:noProof/>
                <w:webHidden/>
              </w:rPr>
              <w:instrText xml:space="preserve"> PAGEREF _Toc199087734 \h </w:instrText>
            </w:r>
            <w:r>
              <w:rPr>
                <w:noProof/>
                <w:webHidden/>
              </w:rPr>
            </w:r>
            <w:r>
              <w:rPr>
                <w:noProof/>
                <w:webHidden/>
              </w:rPr>
              <w:fldChar w:fldCharType="separate"/>
            </w:r>
            <w:r w:rsidR="00B9115C">
              <w:rPr>
                <w:noProof/>
                <w:webHidden/>
              </w:rPr>
              <w:t>3</w:t>
            </w:r>
            <w:r>
              <w:rPr>
                <w:noProof/>
                <w:webHidden/>
              </w:rPr>
              <w:fldChar w:fldCharType="end"/>
            </w:r>
          </w:hyperlink>
        </w:p>
        <w:p w:rsidR="00B9115C" w:rsidRDefault="00A7171E">
          <w:pPr>
            <w:pStyle w:val="Spistreci1"/>
            <w:tabs>
              <w:tab w:val="left" w:pos="720"/>
              <w:tab w:val="right" w:leader="dot" w:pos="9062"/>
            </w:tabs>
            <w:rPr>
              <w:rFonts w:eastAsiaTheme="minorEastAsia"/>
              <w:noProof/>
              <w:kern w:val="2"/>
              <w:sz w:val="24"/>
              <w:szCs w:val="24"/>
              <w:lang w:eastAsia="pl-PL"/>
            </w:rPr>
          </w:pPr>
          <w:hyperlink w:anchor="_Toc199087735" w:history="1">
            <w:r w:rsidR="00B9115C" w:rsidRPr="005209A6">
              <w:rPr>
                <w:rStyle w:val="Hipercze"/>
                <w:noProof/>
              </w:rPr>
              <w:t>1.4.</w:t>
            </w:r>
            <w:r w:rsidR="00B9115C">
              <w:rPr>
                <w:rFonts w:eastAsiaTheme="minorEastAsia"/>
                <w:noProof/>
                <w:kern w:val="2"/>
                <w:sz w:val="24"/>
                <w:szCs w:val="24"/>
                <w:lang w:eastAsia="pl-PL"/>
              </w:rPr>
              <w:tab/>
            </w:r>
            <w:r w:rsidR="00B9115C" w:rsidRPr="005209A6">
              <w:rPr>
                <w:rStyle w:val="Hipercze"/>
                <w:noProof/>
              </w:rPr>
              <w:t>Zakup usług aktualizacji i wdrożenia SZBI wraz z opracowaniem polityki bezpieczeństwa informacji.</w:t>
            </w:r>
            <w:r w:rsidR="00B9115C">
              <w:rPr>
                <w:noProof/>
                <w:webHidden/>
              </w:rPr>
              <w:tab/>
            </w:r>
            <w:r>
              <w:rPr>
                <w:noProof/>
                <w:webHidden/>
              </w:rPr>
              <w:fldChar w:fldCharType="begin"/>
            </w:r>
            <w:r w:rsidR="00B9115C">
              <w:rPr>
                <w:noProof/>
                <w:webHidden/>
              </w:rPr>
              <w:instrText xml:space="preserve"> PAGEREF _Toc199087735 \h </w:instrText>
            </w:r>
            <w:r>
              <w:rPr>
                <w:noProof/>
                <w:webHidden/>
              </w:rPr>
            </w:r>
            <w:r>
              <w:rPr>
                <w:noProof/>
                <w:webHidden/>
              </w:rPr>
              <w:fldChar w:fldCharType="separate"/>
            </w:r>
            <w:r w:rsidR="00B9115C">
              <w:rPr>
                <w:noProof/>
                <w:webHidden/>
              </w:rPr>
              <w:t>6</w:t>
            </w:r>
            <w:r>
              <w:rPr>
                <w:noProof/>
                <w:webHidden/>
              </w:rPr>
              <w:fldChar w:fldCharType="end"/>
            </w:r>
          </w:hyperlink>
        </w:p>
        <w:p w:rsidR="00B9115C" w:rsidRDefault="00A7171E">
          <w:pPr>
            <w:pStyle w:val="Spistreci1"/>
            <w:tabs>
              <w:tab w:val="left" w:pos="720"/>
              <w:tab w:val="right" w:leader="dot" w:pos="9062"/>
            </w:tabs>
            <w:rPr>
              <w:rFonts w:eastAsiaTheme="minorEastAsia"/>
              <w:noProof/>
              <w:kern w:val="2"/>
              <w:sz w:val="24"/>
              <w:szCs w:val="24"/>
              <w:lang w:eastAsia="pl-PL"/>
            </w:rPr>
          </w:pPr>
          <w:hyperlink w:anchor="_Toc199087736" w:history="1">
            <w:r w:rsidR="00B9115C" w:rsidRPr="005209A6">
              <w:rPr>
                <w:rStyle w:val="Hipercze"/>
                <w:noProof/>
              </w:rPr>
              <w:t>1.5.</w:t>
            </w:r>
            <w:r w:rsidR="00B9115C">
              <w:rPr>
                <w:rFonts w:eastAsiaTheme="minorEastAsia"/>
                <w:noProof/>
                <w:kern w:val="2"/>
                <w:sz w:val="24"/>
                <w:szCs w:val="24"/>
                <w:lang w:eastAsia="pl-PL"/>
              </w:rPr>
              <w:tab/>
            </w:r>
            <w:r w:rsidR="00B9115C" w:rsidRPr="005209A6">
              <w:rPr>
                <w:rStyle w:val="Hipercze"/>
                <w:noProof/>
              </w:rPr>
              <w:t>Zakup usług przeprowadzenia audytu zgodności KRI.</w:t>
            </w:r>
            <w:r w:rsidR="00B9115C">
              <w:rPr>
                <w:noProof/>
                <w:webHidden/>
              </w:rPr>
              <w:tab/>
            </w:r>
            <w:r>
              <w:rPr>
                <w:noProof/>
                <w:webHidden/>
              </w:rPr>
              <w:fldChar w:fldCharType="begin"/>
            </w:r>
            <w:r w:rsidR="00B9115C">
              <w:rPr>
                <w:noProof/>
                <w:webHidden/>
              </w:rPr>
              <w:instrText xml:space="preserve"> PAGEREF _Toc199087736 \h </w:instrText>
            </w:r>
            <w:r>
              <w:rPr>
                <w:noProof/>
                <w:webHidden/>
              </w:rPr>
            </w:r>
            <w:r>
              <w:rPr>
                <w:noProof/>
                <w:webHidden/>
              </w:rPr>
              <w:fldChar w:fldCharType="separate"/>
            </w:r>
            <w:r w:rsidR="00B9115C">
              <w:rPr>
                <w:noProof/>
                <w:webHidden/>
              </w:rPr>
              <w:t>11</w:t>
            </w:r>
            <w:r>
              <w:rPr>
                <w:noProof/>
                <w:webHidden/>
              </w:rPr>
              <w:fldChar w:fldCharType="end"/>
            </w:r>
          </w:hyperlink>
        </w:p>
        <w:p w:rsidR="00B9115C" w:rsidRDefault="00A7171E">
          <w:pPr>
            <w:pStyle w:val="Spistreci1"/>
            <w:tabs>
              <w:tab w:val="left" w:pos="720"/>
              <w:tab w:val="right" w:leader="dot" w:pos="9062"/>
            </w:tabs>
            <w:rPr>
              <w:rFonts w:eastAsiaTheme="minorEastAsia"/>
              <w:noProof/>
              <w:kern w:val="2"/>
              <w:sz w:val="24"/>
              <w:szCs w:val="24"/>
              <w:lang w:eastAsia="pl-PL"/>
            </w:rPr>
          </w:pPr>
          <w:hyperlink w:anchor="_Toc199087737" w:history="1">
            <w:r w:rsidR="00B9115C" w:rsidRPr="005209A6">
              <w:rPr>
                <w:rStyle w:val="Hipercze"/>
                <w:noProof/>
              </w:rPr>
              <w:t>1.6.</w:t>
            </w:r>
            <w:r w:rsidR="00B9115C">
              <w:rPr>
                <w:rFonts w:eastAsiaTheme="minorEastAsia"/>
                <w:noProof/>
                <w:kern w:val="2"/>
                <w:sz w:val="24"/>
                <w:szCs w:val="24"/>
                <w:lang w:eastAsia="pl-PL"/>
              </w:rPr>
              <w:tab/>
            </w:r>
            <w:r w:rsidR="00B9115C" w:rsidRPr="005209A6">
              <w:rPr>
                <w:rStyle w:val="Hipercze"/>
                <w:noProof/>
              </w:rPr>
              <w:t>Zakup usług szkolenia pracowników z zakresu cyberbezpieczeństwa.</w:t>
            </w:r>
            <w:r w:rsidR="00B9115C">
              <w:rPr>
                <w:noProof/>
                <w:webHidden/>
              </w:rPr>
              <w:tab/>
            </w:r>
            <w:r>
              <w:rPr>
                <w:noProof/>
                <w:webHidden/>
              </w:rPr>
              <w:fldChar w:fldCharType="begin"/>
            </w:r>
            <w:r w:rsidR="00B9115C">
              <w:rPr>
                <w:noProof/>
                <w:webHidden/>
              </w:rPr>
              <w:instrText xml:space="preserve"> PAGEREF _Toc199087737 \h </w:instrText>
            </w:r>
            <w:r>
              <w:rPr>
                <w:noProof/>
                <w:webHidden/>
              </w:rPr>
            </w:r>
            <w:r>
              <w:rPr>
                <w:noProof/>
                <w:webHidden/>
              </w:rPr>
              <w:fldChar w:fldCharType="separate"/>
            </w:r>
            <w:r w:rsidR="00B9115C">
              <w:rPr>
                <w:noProof/>
                <w:webHidden/>
              </w:rPr>
              <w:t>14</w:t>
            </w:r>
            <w:r>
              <w:rPr>
                <w:noProof/>
                <w:webHidden/>
              </w:rPr>
              <w:fldChar w:fldCharType="end"/>
            </w:r>
          </w:hyperlink>
        </w:p>
        <w:p w:rsidR="00B9115C" w:rsidRDefault="00A7171E">
          <w:pPr>
            <w:pStyle w:val="Spistreci1"/>
            <w:tabs>
              <w:tab w:val="left" w:pos="480"/>
              <w:tab w:val="right" w:leader="dot" w:pos="9062"/>
            </w:tabs>
            <w:rPr>
              <w:rFonts w:eastAsiaTheme="minorEastAsia"/>
              <w:noProof/>
              <w:kern w:val="2"/>
              <w:sz w:val="24"/>
              <w:szCs w:val="24"/>
              <w:lang w:eastAsia="pl-PL"/>
            </w:rPr>
          </w:pPr>
          <w:hyperlink w:anchor="_Toc199087738" w:history="1">
            <w:r w:rsidR="00B9115C" w:rsidRPr="005209A6">
              <w:rPr>
                <w:rStyle w:val="Hipercze"/>
                <w:noProof/>
              </w:rPr>
              <w:t>2.</w:t>
            </w:r>
            <w:r w:rsidR="00B9115C">
              <w:rPr>
                <w:rFonts w:eastAsiaTheme="minorEastAsia"/>
                <w:noProof/>
                <w:kern w:val="2"/>
                <w:sz w:val="24"/>
                <w:szCs w:val="24"/>
                <w:lang w:eastAsia="pl-PL"/>
              </w:rPr>
              <w:tab/>
            </w:r>
            <w:r w:rsidR="00B9115C" w:rsidRPr="005209A6">
              <w:rPr>
                <w:rStyle w:val="Hipercze"/>
                <w:noProof/>
              </w:rPr>
              <w:t>Równoważność rozwiązań.</w:t>
            </w:r>
            <w:r w:rsidR="00B9115C">
              <w:rPr>
                <w:noProof/>
                <w:webHidden/>
              </w:rPr>
              <w:tab/>
            </w:r>
            <w:r>
              <w:rPr>
                <w:noProof/>
                <w:webHidden/>
              </w:rPr>
              <w:fldChar w:fldCharType="begin"/>
            </w:r>
            <w:r w:rsidR="00B9115C">
              <w:rPr>
                <w:noProof/>
                <w:webHidden/>
              </w:rPr>
              <w:instrText xml:space="preserve"> PAGEREF _Toc199087738 \h </w:instrText>
            </w:r>
            <w:r>
              <w:rPr>
                <w:noProof/>
                <w:webHidden/>
              </w:rPr>
            </w:r>
            <w:r>
              <w:rPr>
                <w:noProof/>
                <w:webHidden/>
              </w:rPr>
              <w:fldChar w:fldCharType="separate"/>
            </w:r>
            <w:r w:rsidR="00B9115C">
              <w:rPr>
                <w:noProof/>
                <w:webHidden/>
              </w:rPr>
              <w:t>16</w:t>
            </w:r>
            <w:r>
              <w:rPr>
                <w:noProof/>
                <w:webHidden/>
              </w:rPr>
              <w:fldChar w:fldCharType="end"/>
            </w:r>
          </w:hyperlink>
        </w:p>
        <w:p w:rsidR="00B9115C" w:rsidRDefault="00A7171E">
          <w:pPr>
            <w:pStyle w:val="Spistreci1"/>
            <w:tabs>
              <w:tab w:val="left" w:pos="480"/>
              <w:tab w:val="right" w:leader="dot" w:pos="9062"/>
            </w:tabs>
            <w:rPr>
              <w:rFonts w:eastAsiaTheme="minorEastAsia"/>
              <w:noProof/>
              <w:kern w:val="2"/>
              <w:sz w:val="24"/>
              <w:szCs w:val="24"/>
              <w:lang w:eastAsia="pl-PL"/>
            </w:rPr>
          </w:pPr>
          <w:hyperlink w:anchor="_Toc199087739" w:history="1">
            <w:r w:rsidR="00B9115C" w:rsidRPr="005209A6">
              <w:rPr>
                <w:rStyle w:val="Hipercze"/>
                <w:noProof/>
              </w:rPr>
              <w:t>3.</w:t>
            </w:r>
            <w:r w:rsidR="00B9115C">
              <w:rPr>
                <w:rFonts w:eastAsiaTheme="minorEastAsia"/>
                <w:noProof/>
                <w:kern w:val="2"/>
                <w:sz w:val="24"/>
                <w:szCs w:val="24"/>
                <w:lang w:eastAsia="pl-PL"/>
              </w:rPr>
              <w:tab/>
            </w:r>
            <w:r w:rsidR="00B9115C" w:rsidRPr="005209A6">
              <w:rPr>
                <w:rStyle w:val="Hipercze"/>
                <w:noProof/>
              </w:rPr>
              <w:t>Klauzula informacyjna FERC.</w:t>
            </w:r>
            <w:r w:rsidR="00B9115C">
              <w:rPr>
                <w:noProof/>
                <w:webHidden/>
              </w:rPr>
              <w:tab/>
            </w:r>
            <w:r>
              <w:rPr>
                <w:noProof/>
                <w:webHidden/>
              </w:rPr>
              <w:fldChar w:fldCharType="begin"/>
            </w:r>
            <w:r w:rsidR="00B9115C">
              <w:rPr>
                <w:noProof/>
                <w:webHidden/>
              </w:rPr>
              <w:instrText xml:space="preserve"> PAGEREF _Toc199087739 \h </w:instrText>
            </w:r>
            <w:r>
              <w:rPr>
                <w:noProof/>
                <w:webHidden/>
              </w:rPr>
            </w:r>
            <w:r>
              <w:rPr>
                <w:noProof/>
                <w:webHidden/>
              </w:rPr>
              <w:fldChar w:fldCharType="separate"/>
            </w:r>
            <w:r w:rsidR="00B9115C">
              <w:rPr>
                <w:noProof/>
                <w:webHidden/>
              </w:rPr>
              <w:t>18</w:t>
            </w:r>
            <w:r>
              <w:rPr>
                <w:noProof/>
                <w:webHidden/>
              </w:rPr>
              <w:fldChar w:fldCharType="end"/>
            </w:r>
          </w:hyperlink>
        </w:p>
        <w:p w:rsidR="00EF3894" w:rsidRDefault="00A7171E" w:rsidP="008E2757">
          <w:pPr>
            <w:spacing w:line="276" w:lineRule="auto"/>
          </w:pPr>
          <w:r>
            <w:rPr>
              <w:b/>
              <w:bCs/>
            </w:rPr>
            <w:fldChar w:fldCharType="end"/>
          </w:r>
        </w:p>
      </w:sdtContent>
    </w:sdt>
    <w:p w:rsidR="00A46045" w:rsidRPr="00EF3894" w:rsidRDefault="00A46045" w:rsidP="008E2757">
      <w:pPr>
        <w:spacing w:line="276" w:lineRule="auto"/>
      </w:pPr>
    </w:p>
    <w:p w:rsidR="00A46045" w:rsidRDefault="00A46045" w:rsidP="008E2757">
      <w:pPr>
        <w:spacing w:line="276" w:lineRule="auto"/>
        <w:jc w:val="center"/>
        <w:rPr>
          <w:sz w:val="44"/>
          <w:szCs w:val="44"/>
        </w:rPr>
      </w:pPr>
    </w:p>
    <w:p w:rsidR="00A46045" w:rsidRDefault="00A46045" w:rsidP="008E2757">
      <w:pPr>
        <w:spacing w:line="276" w:lineRule="auto"/>
        <w:jc w:val="center"/>
        <w:rPr>
          <w:sz w:val="44"/>
          <w:szCs w:val="44"/>
        </w:rPr>
      </w:pPr>
    </w:p>
    <w:p w:rsidR="00A46045" w:rsidRDefault="00A46045" w:rsidP="008E2757">
      <w:pPr>
        <w:spacing w:line="276" w:lineRule="auto"/>
        <w:jc w:val="center"/>
        <w:rPr>
          <w:sz w:val="44"/>
          <w:szCs w:val="44"/>
        </w:rPr>
      </w:pPr>
    </w:p>
    <w:p w:rsidR="00A46045" w:rsidRDefault="00A46045" w:rsidP="008E2757">
      <w:pPr>
        <w:spacing w:line="276" w:lineRule="auto"/>
        <w:jc w:val="center"/>
        <w:rPr>
          <w:sz w:val="44"/>
          <w:szCs w:val="44"/>
        </w:rPr>
      </w:pPr>
    </w:p>
    <w:p w:rsidR="00EF3894" w:rsidRDefault="00EF3894" w:rsidP="008E2757">
      <w:pPr>
        <w:spacing w:line="276" w:lineRule="auto"/>
        <w:rPr>
          <w:sz w:val="44"/>
          <w:szCs w:val="44"/>
        </w:rPr>
      </w:pPr>
      <w:r>
        <w:rPr>
          <w:sz w:val="44"/>
          <w:szCs w:val="44"/>
        </w:rPr>
        <w:br w:type="page"/>
      </w:r>
    </w:p>
    <w:p w:rsidR="000F6B70" w:rsidRDefault="000F6B70" w:rsidP="00965710">
      <w:pPr>
        <w:pStyle w:val="Nagwek1"/>
        <w:numPr>
          <w:ilvl w:val="0"/>
          <w:numId w:val="1"/>
        </w:numPr>
        <w:spacing w:line="276" w:lineRule="auto"/>
      </w:pPr>
      <w:bookmarkStart w:id="1" w:name="_Toc199087731"/>
      <w:r>
        <w:lastRenderedPageBreak/>
        <w:t>Przedmiot zamówienia</w:t>
      </w:r>
      <w:bookmarkEnd w:id="1"/>
    </w:p>
    <w:p w:rsidR="00566FB1" w:rsidRDefault="00566FB1" w:rsidP="00566FB1">
      <w:pPr>
        <w:pStyle w:val="Nagwek1"/>
        <w:numPr>
          <w:ilvl w:val="1"/>
          <w:numId w:val="1"/>
        </w:numPr>
        <w:spacing w:after="240" w:line="276" w:lineRule="auto"/>
      </w:pPr>
      <w:bookmarkStart w:id="2" w:name="_Toc174003987"/>
      <w:bookmarkStart w:id="3" w:name="_Toc199087732"/>
      <w:r>
        <w:t>Zestawienie ilościowe.</w:t>
      </w:r>
      <w:bookmarkEnd w:id="2"/>
      <w:bookmarkEnd w:id="3"/>
    </w:p>
    <w:tbl>
      <w:tblPr>
        <w:tblStyle w:val="PlainTable1"/>
        <w:tblW w:w="0" w:type="auto"/>
        <w:tblLook w:val="04A0"/>
      </w:tblPr>
      <w:tblGrid>
        <w:gridCol w:w="545"/>
        <w:gridCol w:w="7029"/>
        <w:gridCol w:w="1488"/>
      </w:tblGrid>
      <w:tr w:rsidR="00566FB1" w:rsidRPr="00A16663" w:rsidTr="00566FB1">
        <w:trPr>
          <w:cnfStyle w:val="100000000000"/>
          <w:trHeight w:val="567"/>
        </w:trPr>
        <w:tc>
          <w:tcPr>
            <w:cnfStyle w:val="001000000000"/>
            <w:tcW w:w="545" w:type="dxa"/>
            <w:vAlign w:val="center"/>
          </w:tcPr>
          <w:p w:rsidR="00566FB1" w:rsidRPr="00A16663" w:rsidRDefault="00566FB1" w:rsidP="0033753E">
            <w:pPr>
              <w:spacing w:line="276" w:lineRule="auto"/>
              <w:jc w:val="center"/>
            </w:pPr>
            <w:r w:rsidRPr="00A16663">
              <w:t>L.p.</w:t>
            </w:r>
          </w:p>
        </w:tc>
        <w:tc>
          <w:tcPr>
            <w:tcW w:w="7029" w:type="dxa"/>
            <w:vAlign w:val="center"/>
          </w:tcPr>
          <w:p w:rsidR="00566FB1" w:rsidRPr="00A16663" w:rsidRDefault="00566FB1" w:rsidP="0033753E">
            <w:pPr>
              <w:spacing w:line="276" w:lineRule="auto"/>
              <w:jc w:val="center"/>
              <w:cnfStyle w:val="100000000000"/>
            </w:pPr>
            <w:r w:rsidRPr="00A16663">
              <w:t>Nazwa</w:t>
            </w:r>
          </w:p>
        </w:tc>
        <w:tc>
          <w:tcPr>
            <w:tcW w:w="1488" w:type="dxa"/>
            <w:vAlign w:val="center"/>
          </w:tcPr>
          <w:p w:rsidR="00566FB1" w:rsidRPr="00A16663" w:rsidRDefault="00566FB1" w:rsidP="0033753E">
            <w:pPr>
              <w:spacing w:line="276" w:lineRule="auto"/>
              <w:jc w:val="center"/>
              <w:cnfStyle w:val="100000000000"/>
            </w:pPr>
            <w:r w:rsidRPr="00A16663">
              <w:t>Ilość</w:t>
            </w:r>
          </w:p>
        </w:tc>
      </w:tr>
      <w:tr w:rsidR="00566FB1" w:rsidRPr="00A16663" w:rsidTr="00566FB1">
        <w:trPr>
          <w:cnfStyle w:val="000000100000"/>
        </w:trPr>
        <w:tc>
          <w:tcPr>
            <w:cnfStyle w:val="001000000000"/>
            <w:tcW w:w="545" w:type="dxa"/>
            <w:vAlign w:val="center"/>
          </w:tcPr>
          <w:p w:rsidR="00566FB1" w:rsidRPr="00A16663" w:rsidRDefault="00566FB1" w:rsidP="0033753E">
            <w:pPr>
              <w:spacing w:line="276" w:lineRule="auto"/>
              <w:jc w:val="both"/>
            </w:pPr>
            <w:r w:rsidRPr="00A16663">
              <w:t>1.</w:t>
            </w:r>
          </w:p>
        </w:tc>
        <w:tc>
          <w:tcPr>
            <w:tcW w:w="7029" w:type="dxa"/>
          </w:tcPr>
          <w:p w:rsidR="00566FB1" w:rsidRPr="00A16663" w:rsidRDefault="00566FB1" w:rsidP="0033753E">
            <w:pPr>
              <w:spacing w:line="276" w:lineRule="auto"/>
              <w:jc w:val="both"/>
              <w:cnfStyle w:val="000000100000"/>
            </w:pPr>
            <w:r w:rsidRPr="008226E0">
              <w:t>Zakup usług aktualizacji i wdrożenia SZBI</w:t>
            </w:r>
          </w:p>
        </w:tc>
        <w:tc>
          <w:tcPr>
            <w:tcW w:w="1488" w:type="dxa"/>
            <w:vAlign w:val="center"/>
          </w:tcPr>
          <w:p w:rsidR="00566FB1" w:rsidRPr="00A16663" w:rsidRDefault="00566FB1" w:rsidP="0033753E">
            <w:pPr>
              <w:spacing w:line="276" w:lineRule="auto"/>
              <w:jc w:val="center"/>
              <w:cnfStyle w:val="000000100000"/>
            </w:pPr>
            <w:r>
              <w:t>1 szt.</w:t>
            </w:r>
          </w:p>
        </w:tc>
      </w:tr>
      <w:tr w:rsidR="00566FB1" w:rsidRPr="00A16663" w:rsidTr="00566FB1">
        <w:tc>
          <w:tcPr>
            <w:cnfStyle w:val="001000000000"/>
            <w:tcW w:w="545" w:type="dxa"/>
            <w:vAlign w:val="center"/>
          </w:tcPr>
          <w:p w:rsidR="00566FB1" w:rsidRPr="00A16663" w:rsidRDefault="00566FB1" w:rsidP="0033753E">
            <w:pPr>
              <w:spacing w:line="276" w:lineRule="auto"/>
              <w:jc w:val="both"/>
            </w:pPr>
            <w:r w:rsidRPr="00A16663">
              <w:t>2.</w:t>
            </w:r>
          </w:p>
        </w:tc>
        <w:tc>
          <w:tcPr>
            <w:tcW w:w="7029" w:type="dxa"/>
          </w:tcPr>
          <w:p w:rsidR="00566FB1" w:rsidRPr="00A16663" w:rsidRDefault="00566FB1" w:rsidP="0033753E">
            <w:pPr>
              <w:spacing w:line="276" w:lineRule="auto"/>
              <w:jc w:val="both"/>
              <w:cnfStyle w:val="000000000000"/>
            </w:pPr>
            <w:r w:rsidRPr="005C6B7E">
              <w:t>Zakup usług przeprowadzenia audytu zgodności KRI</w:t>
            </w:r>
          </w:p>
        </w:tc>
        <w:tc>
          <w:tcPr>
            <w:tcW w:w="1488" w:type="dxa"/>
            <w:vAlign w:val="center"/>
          </w:tcPr>
          <w:p w:rsidR="00566FB1" w:rsidRPr="00A16663" w:rsidRDefault="00587EFF" w:rsidP="0033753E">
            <w:pPr>
              <w:spacing w:line="276" w:lineRule="auto"/>
              <w:jc w:val="center"/>
              <w:cnfStyle w:val="000000000000"/>
            </w:pPr>
            <w:r>
              <w:t>1</w:t>
            </w:r>
            <w:r w:rsidR="00566FB1">
              <w:t xml:space="preserve"> szt.</w:t>
            </w:r>
          </w:p>
        </w:tc>
      </w:tr>
      <w:tr w:rsidR="00566FB1" w:rsidRPr="00A16663" w:rsidTr="00566FB1">
        <w:trPr>
          <w:cnfStyle w:val="000000100000"/>
        </w:trPr>
        <w:tc>
          <w:tcPr>
            <w:cnfStyle w:val="001000000000"/>
            <w:tcW w:w="545" w:type="dxa"/>
            <w:vAlign w:val="center"/>
          </w:tcPr>
          <w:p w:rsidR="00566FB1" w:rsidRPr="00A16663" w:rsidRDefault="00566FB1" w:rsidP="00566FB1">
            <w:pPr>
              <w:spacing w:line="276" w:lineRule="auto"/>
              <w:jc w:val="both"/>
            </w:pPr>
            <w:r>
              <w:t>3.</w:t>
            </w:r>
          </w:p>
        </w:tc>
        <w:tc>
          <w:tcPr>
            <w:tcW w:w="7029" w:type="dxa"/>
          </w:tcPr>
          <w:p w:rsidR="00566FB1" w:rsidRPr="005C6B7E" w:rsidRDefault="00566FB1" w:rsidP="00566FB1">
            <w:pPr>
              <w:spacing w:line="276" w:lineRule="auto"/>
              <w:jc w:val="both"/>
              <w:cnfStyle w:val="000000100000"/>
            </w:pPr>
            <w:r w:rsidRPr="005837B8">
              <w:t>Zakup usług szkolenia pracowników z zakresu cyberbezpieczeństwa</w:t>
            </w:r>
          </w:p>
        </w:tc>
        <w:tc>
          <w:tcPr>
            <w:tcW w:w="1488" w:type="dxa"/>
          </w:tcPr>
          <w:p w:rsidR="00566FB1" w:rsidRDefault="006A0B0B" w:rsidP="00566FB1">
            <w:pPr>
              <w:spacing w:line="276" w:lineRule="auto"/>
              <w:jc w:val="center"/>
              <w:cnfStyle w:val="000000100000"/>
            </w:pPr>
            <w:r>
              <w:t>3</w:t>
            </w:r>
            <w:r w:rsidR="00566FB1" w:rsidRPr="005837B8">
              <w:t>0</w:t>
            </w:r>
            <w:r w:rsidR="00566FB1">
              <w:t xml:space="preserve"> osób</w:t>
            </w:r>
          </w:p>
        </w:tc>
      </w:tr>
    </w:tbl>
    <w:p w:rsidR="00AA4C83" w:rsidRDefault="00AA4C83" w:rsidP="00AA4C83">
      <w:pPr>
        <w:pStyle w:val="Nagwek1"/>
        <w:numPr>
          <w:ilvl w:val="1"/>
          <w:numId w:val="1"/>
        </w:numPr>
        <w:spacing w:after="240" w:line="276" w:lineRule="auto"/>
      </w:pPr>
      <w:bookmarkStart w:id="4" w:name="_Toc199087733"/>
      <w:r>
        <w:t>Termin realizacji zamówienia.</w:t>
      </w:r>
      <w:bookmarkEnd w:id="4"/>
    </w:p>
    <w:p w:rsidR="005B5ECD" w:rsidRPr="005B5ECD" w:rsidRDefault="005B5ECD">
      <w:pPr>
        <w:pStyle w:val="Akapitzlist"/>
        <w:numPr>
          <w:ilvl w:val="0"/>
          <w:numId w:val="4"/>
        </w:numPr>
        <w:spacing w:after="0" w:line="276" w:lineRule="auto"/>
        <w:ind w:left="284" w:hanging="284"/>
        <w:jc w:val="both"/>
      </w:pPr>
      <w:r w:rsidRPr="005B5ECD">
        <w:t xml:space="preserve">Termin realizacji zamówienia </w:t>
      </w:r>
      <w:r>
        <w:t>biegnie</w:t>
      </w:r>
      <w:r w:rsidRPr="005B5ECD">
        <w:t xml:space="preserve"> od dnia zawarcia umowy </w:t>
      </w:r>
      <w:r>
        <w:t xml:space="preserve">nie dłużej </w:t>
      </w:r>
      <w:r w:rsidRPr="00E77282">
        <w:t>niż do dnia 30.0</w:t>
      </w:r>
      <w:r w:rsidR="006A0B0B">
        <w:t>1</w:t>
      </w:r>
      <w:r w:rsidRPr="00E77282">
        <w:t>.2026 r., z zastrzeżeniem, że:</w:t>
      </w:r>
    </w:p>
    <w:p w:rsidR="00587EFF" w:rsidRPr="005B5ECD" w:rsidRDefault="00587EFF" w:rsidP="00587EFF">
      <w:pPr>
        <w:pStyle w:val="Akapitzlist"/>
        <w:numPr>
          <w:ilvl w:val="1"/>
          <w:numId w:val="30"/>
        </w:numPr>
        <w:spacing w:after="0" w:line="276" w:lineRule="auto"/>
        <w:jc w:val="both"/>
      </w:pPr>
      <w:r w:rsidRPr="005B5ECD">
        <w:t xml:space="preserve">Aktualizacja i wdrożenie SZBI zostanie przeprowadzona od dnia zawarcia umowy nie później niż do dnia </w:t>
      </w:r>
      <w:r>
        <w:t>30</w:t>
      </w:r>
      <w:r w:rsidRPr="005B5ECD">
        <w:t>.</w:t>
      </w:r>
      <w:r>
        <w:t>12</w:t>
      </w:r>
      <w:r w:rsidRPr="005B5ECD">
        <w:t>.2025 r.</w:t>
      </w:r>
    </w:p>
    <w:p w:rsidR="005B5ECD" w:rsidRPr="005B5ECD" w:rsidRDefault="005B5ECD">
      <w:pPr>
        <w:pStyle w:val="Akapitzlist"/>
        <w:numPr>
          <w:ilvl w:val="1"/>
          <w:numId w:val="30"/>
        </w:numPr>
        <w:spacing w:after="0" w:line="276" w:lineRule="auto"/>
        <w:jc w:val="both"/>
      </w:pPr>
      <w:r w:rsidRPr="005B5ECD">
        <w:t>Audyt KRI zostanie przeprowadzony od dnia zawarcia umowy nie później niż do dnia 30.</w:t>
      </w:r>
      <w:r w:rsidR="00587EFF">
        <w:t>01</w:t>
      </w:r>
      <w:r w:rsidRPr="005B5ECD">
        <w:t>.202</w:t>
      </w:r>
      <w:r w:rsidR="00587EFF">
        <w:t>6</w:t>
      </w:r>
      <w:r w:rsidRPr="005B5ECD">
        <w:t xml:space="preserve"> r.;</w:t>
      </w:r>
    </w:p>
    <w:p w:rsidR="005B5ECD" w:rsidRPr="005B5ECD" w:rsidRDefault="005B5ECD">
      <w:pPr>
        <w:pStyle w:val="Akapitzlist"/>
        <w:numPr>
          <w:ilvl w:val="1"/>
          <w:numId w:val="30"/>
        </w:numPr>
        <w:spacing w:after="0" w:line="276" w:lineRule="auto"/>
        <w:jc w:val="both"/>
      </w:pPr>
      <w:r w:rsidRPr="005B5ECD">
        <w:t xml:space="preserve">Przeprowadzenie szkolenia </w:t>
      </w:r>
      <w:r w:rsidR="00324A35" w:rsidRPr="005837B8">
        <w:t>pracowników z zakresu cyberbezpieczeństwa</w:t>
      </w:r>
      <w:r w:rsidRPr="005B5ECD">
        <w:t xml:space="preserve"> zostan</w:t>
      </w:r>
      <w:r w:rsidR="00324A35">
        <w:t>ą</w:t>
      </w:r>
      <w:r w:rsidRPr="005B5ECD">
        <w:t xml:space="preserve"> przeprowadzone od dnia zawarcia umowy nie później niż do dnia 3</w:t>
      </w:r>
      <w:r w:rsidR="00324A35">
        <w:t>0</w:t>
      </w:r>
      <w:r w:rsidRPr="005B5ECD">
        <w:t>.1</w:t>
      </w:r>
      <w:r w:rsidR="00324A35">
        <w:t>1</w:t>
      </w:r>
      <w:r w:rsidRPr="005B5ECD">
        <w:t>.2025 r.</w:t>
      </w:r>
    </w:p>
    <w:p w:rsidR="000F6B70" w:rsidRDefault="0089651A" w:rsidP="00CC4F63">
      <w:pPr>
        <w:pStyle w:val="Nagwek1"/>
        <w:numPr>
          <w:ilvl w:val="1"/>
          <w:numId w:val="1"/>
        </w:numPr>
        <w:spacing w:after="240" w:line="276" w:lineRule="auto"/>
      </w:pPr>
      <w:bookmarkStart w:id="5" w:name="_Toc199087734"/>
      <w:r>
        <w:t>Wymagania ogólne</w:t>
      </w:r>
      <w:r w:rsidR="000F6B70">
        <w:t>.</w:t>
      </w:r>
      <w:bookmarkEnd w:id="5"/>
    </w:p>
    <w:p w:rsidR="00E77282" w:rsidRDefault="00925358" w:rsidP="00587EFF">
      <w:pPr>
        <w:pStyle w:val="Akapitzlist"/>
        <w:numPr>
          <w:ilvl w:val="0"/>
          <w:numId w:val="36"/>
        </w:numPr>
        <w:spacing w:after="0" w:line="276" w:lineRule="auto"/>
        <w:ind w:left="284" w:hanging="284"/>
        <w:jc w:val="both"/>
      </w:pPr>
      <w:r w:rsidRPr="001079CB">
        <w:t>Zamówienie będzie realizowane na rzecz Urz</w:t>
      </w:r>
      <w:r w:rsidR="00380485" w:rsidRPr="001079CB">
        <w:t>ę</w:t>
      </w:r>
      <w:r w:rsidRPr="001079CB">
        <w:t>d</w:t>
      </w:r>
      <w:r w:rsidR="00380485" w:rsidRPr="001079CB">
        <w:t>u</w:t>
      </w:r>
      <w:r w:rsidRPr="001079CB">
        <w:t xml:space="preserve"> </w:t>
      </w:r>
      <w:r w:rsidR="00587EFF">
        <w:t xml:space="preserve">Gminy </w:t>
      </w:r>
      <w:r w:rsidR="006A0B0B">
        <w:t>Michów</w:t>
      </w:r>
      <w:r w:rsidR="00B55CF0">
        <w:t>.</w:t>
      </w:r>
    </w:p>
    <w:p w:rsidR="005D1AFC" w:rsidRDefault="005D1AFC">
      <w:pPr>
        <w:pStyle w:val="Akapitzlist"/>
        <w:numPr>
          <w:ilvl w:val="0"/>
          <w:numId w:val="36"/>
        </w:numPr>
        <w:spacing w:after="0" w:line="276" w:lineRule="auto"/>
        <w:ind w:left="284" w:hanging="284"/>
        <w:jc w:val="both"/>
      </w:pPr>
      <w:r>
        <w:t xml:space="preserve">Wykonawca jest zobowiązany do </w:t>
      </w:r>
      <w:r w:rsidRPr="00C834D4">
        <w:t xml:space="preserve">przeprowadzenia w </w:t>
      </w:r>
      <w:r w:rsidR="00587EFF">
        <w:t>ramach</w:t>
      </w:r>
      <w:r w:rsidRPr="00C834D4">
        <w:t xml:space="preserve"> realizacji projektu</w:t>
      </w:r>
      <w:r w:rsidR="00471ECE" w:rsidRPr="00C834D4">
        <w:t xml:space="preserve"> pn. „Cyberbezpieczny Samorząd” współfinansowanego w ramach środków Unii Europejskiej i budżetu państwa w ramach programu Fundusze Europejskie na Rozwój Cyfrowy 2021-2027, Priorytetu II: Zaawansowane usługi cyfrowe, Działania 2.2. - Wzmocnienie krajowego systemu cyberbezpieczeństwa</w:t>
      </w:r>
      <w:r w:rsidR="00587EFF">
        <w:t xml:space="preserve">, </w:t>
      </w:r>
      <w:r w:rsidRPr="00C834D4">
        <w:t xml:space="preserve">audytu systemu zarządzania bezpieczeństwem informacji w związku z zapisami w § </w:t>
      </w:r>
      <w:r w:rsidR="009918AC" w:rsidRPr="00C834D4">
        <w:t>19</w:t>
      </w:r>
      <w:r w:rsidRPr="00C834D4">
        <w:t xml:space="preserve"> ust. 2 pkt 14 </w:t>
      </w:r>
      <w:r w:rsidR="009918AC" w:rsidRPr="00C834D4">
        <w:t xml:space="preserve">Rozporządzenia Rady Ministrów z dnia </w:t>
      </w:r>
      <w:r w:rsidR="00AB672B" w:rsidRPr="00C834D4">
        <w:t>21</w:t>
      </w:r>
      <w:r w:rsidR="00356CC9" w:rsidRPr="00C834D4">
        <w:t xml:space="preserve"> maja </w:t>
      </w:r>
      <w:r w:rsidR="00AB672B" w:rsidRPr="00C834D4">
        <w:t xml:space="preserve">2024 r. </w:t>
      </w:r>
      <w:r w:rsidRPr="00C834D4">
        <w:t>w sprawie Krajowych Ram Interoperacyjności, minimalnych wymagań dla rejestrów publicznych i wymiany informacji w postaci elektronicznej oraz minimalnych wymagań dla systemów teleinformatycznych (Dz.U.</w:t>
      </w:r>
      <w:r w:rsidR="00AB672B" w:rsidRPr="00C834D4">
        <w:t xml:space="preserve"> </w:t>
      </w:r>
      <w:bookmarkStart w:id="6" w:name="_Hlk169775028"/>
      <w:r w:rsidR="00AB672B" w:rsidRPr="00C834D4">
        <w:t>2024 poz. 773</w:t>
      </w:r>
      <w:bookmarkEnd w:id="6"/>
      <w:r w:rsidRPr="00AB672B">
        <w:t>), zwanego</w:t>
      </w:r>
      <w:r w:rsidRPr="005D1AFC">
        <w:t xml:space="preserve"> dalej „</w:t>
      </w:r>
      <w:r>
        <w:t>audytem</w:t>
      </w:r>
      <w:r w:rsidRPr="005D1AFC">
        <w:t xml:space="preserve"> KRI”</w:t>
      </w:r>
      <w:r>
        <w:t xml:space="preserve"> dla </w:t>
      </w:r>
      <w:r w:rsidR="00925358">
        <w:t>Zamawiającego.</w:t>
      </w:r>
    </w:p>
    <w:p w:rsidR="00566FB1" w:rsidRPr="00566FB1" w:rsidRDefault="00E30491">
      <w:pPr>
        <w:pStyle w:val="Akapitzlist"/>
        <w:numPr>
          <w:ilvl w:val="0"/>
          <w:numId w:val="36"/>
        </w:numPr>
        <w:spacing w:after="0" w:line="276" w:lineRule="auto"/>
        <w:ind w:left="284" w:hanging="284"/>
        <w:jc w:val="both"/>
      </w:pPr>
      <w:r>
        <w:t xml:space="preserve">Wykonawca </w:t>
      </w:r>
      <w:r w:rsidR="0089651A">
        <w:t>jest odpowiedzialny za</w:t>
      </w:r>
      <w:r>
        <w:t xml:space="preserve"> </w:t>
      </w:r>
      <w:r w:rsidR="0089651A" w:rsidRPr="00431657">
        <w:t xml:space="preserve">przeprowadzenie </w:t>
      </w:r>
      <w:r w:rsidR="00354549">
        <w:t>aktualizacj</w:t>
      </w:r>
      <w:r w:rsidR="005D1AFC">
        <w:t>i</w:t>
      </w:r>
      <w:r w:rsidR="00354549">
        <w:t xml:space="preserve"> i wdrożenie </w:t>
      </w:r>
      <w:r w:rsidR="00753EFC">
        <w:t xml:space="preserve">kompletnego </w:t>
      </w:r>
      <w:r w:rsidR="00354549" w:rsidRPr="00566FB1">
        <w:t>Systemu Zarządzania Bezpieczeństwem Informacji</w:t>
      </w:r>
      <w:r w:rsidR="00CC33BC" w:rsidRPr="00566FB1">
        <w:t xml:space="preserve"> (dalej zwany: SZBI)</w:t>
      </w:r>
      <w:r w:rsidR="00354549" w:rsidRPr="00566FB1">
        <w:t xml:space="preserve"> dla </w:t>
      </w:r>
      <w:r w:rsidR="00925358" w:rsidRPr="00566FB1">
        <w:t>Zamawiającego.</w:t>
      </w:r>
    </w:p>
    <w:p w:rsidR="00566FB1" w:rsidRPr="00566FB1" w:rsidRDefault="00566FB1">
      <w:pPr>
        <w:pStyle w:val="Akapitzlist"/>
        <w:numPr>
          <w:ilvl w:val="0"/>
          <w:numId w:val="36"/>
        </w:numPr>
        <w:spacing w:after="0" w:line="276" w:lineRule="auto"/>
        <w:ind w:left="284" w:hanging="284"/>
        <w:jc w:val="both"/>
      </w:pPr>
      <w:r w:rsidRPr="00566FB1">
        <w:rPr>
          <w:rFonts w:cstheme="minorHAnsi"/>
        </w:rPr>
        <w:t>Wykonawca jest zobowiązany do przeprowadzenia szkoleń dla pracowników z cyberbezpieczeństwa</w:t>
      </w:r>
      <w:r w:rsidR="00E77282">
        <w:rPr>
          <w:rFonts w:cstheme="minorHAnsi"/>
        </w:rPr>
        <w:t>.</w:t>
      </w:r>
    </w:p>
    <w:p w:rsidR="0019043E" w:rsidRPr="00C834D4" w:rsidRDefault="0019043E">
      <w:pPr>
        <w:pStyle w:val="Akapitzlist"/>
        <w:numPr>
          <w:ilvl w:val="0"/>
          <w:numId w:val="36"/>
        </w:numPr>
        <w:spacing w:after="0" w:line="276" w:lineRule="auto"/>
        <w:ind w:left="284" w:hanging="284"/>
        <w:jc w:val="both"/>
      </w:pPr>
      <w:r w:rsidRPr="00C834D4">
        <w:t xml:space="preserve">Zakres audytu systemu bezpieczeństwa informacji każdorazowo obejmie zgodność z kryteriami zawartymi w § </w:t>
      </w:r>
      <w:r w:rsidR="00AB672B" w:rsidRPr="00C834D4">
        <w:t>19</w:t>
      </w:r>
      <w:r w:rsidRPr="00C834D4">
        <w:t xml:space="preserve"> ust. 2 ww. rozporządzenia KRI oraz zgodność z wymaganiami normy </w:t>
      </w:r>
      <w:r w:rsidR="00A60074" w:rsidRPr="00C834D4">
        <w:rPr>
          <w:rStyle w:val="Pogrubienie"/>
          <w:b w:val="0"/>
          <w:bCs w:val="0"/>
        </w:rPr>
        <w:t>PN-EN ISO/IEC 27001:2023</w:t>
      </w:r>
      <w:r w:rsidR="00A60074" w:rsidRPr="00C834D4">
        <w:rPr>
          <w:rStyle w:val="Pogrubienie"/>
        </w:rPr>
        <w:t xml:space="preserve"> </w:t>
      </w:r>
      <w:r w:rsidRPr="00C834D4">
        <w:t xml:space="preserve">dla </w:t>
      </w:r>
      <w:r w:rsidR="0048694A" w:rsidRPr="00C834D4">
        <w:t>Zamawiającego.</w:t>
      </w:r>
    </w:p>
    <w:p w:rsidR="0019043E" w:rsidRPr="00C834D4" w:rsidRDefault="0019043E">
      <w:pPr>
        <w:pStyle w:val="Akapitzlist"/>
        <w:numPr>
          <w:ilvl w:val="0"/>
          <w:numId w:val="36"/>
        </w:numPr>
        <w:spacing w:after="0" w:line="276" w:lineRule="auto"/>
        <w:ind w:left="284" w:hanging="284"/>
        <w:jc w:val="both"/>
      </w:pPr>
      <w:r w:rsidRPr="00C834D4">
        <w:t xml:space="preserve">Raport z audytu </w:t>
      </w:r>
      <w:r w:rsidR="001226AC" w:rsidRPr="00C834D4">
        <w:t xml:space="preserve">KRI </w:t>
      </w:r>
      <w:r w:rsidRPr="00C834D4">
        <w:t xml:space="preserve">zostanie każdorazowo podpisany przez audytora dokonującego audyt </w:t>
      </w:r>
      <w:r w:rsidR="001226AC" w:rsidRPr="00C834D4">
        <w:t>KRI przy wykorzystaniu kwalifikowalnego podpisu elektronicznego</w:t>
      </w:r>
      <w:r w:rsidRPr="00C834D4">
        <w:t xml:space="preserve"> i</w:t>
      </w:r>
      <w:r w:rsidR="006F3F6C" w:rsidRPr="00C834D4">
        <w:t xml:space="preserve"> </w:t>
      </w:r>
      <w:r w:rsidRPr="00C834D4">
        <w:t xml:space="preserve">dostarczony do </w:t>
      </w:r>
      <w:r w:rsidR="00EC744B" w:rsidRPr="00C834D4">
        <w:t>Zamawiającego w</w:t>
      </w:r>
      <w:r w:rsidR="001226AC" w:rsidRPr="00C834D4">
        <w:t> </w:t>
      </w:r>
      <w:r w:rsidR="00EC744B" w:rsidRPr="00C834D4">
        <w:t>formie elektronicznej.</w:t>
      </w:r>
    </w:p>
    <w:p w:rsidR="00EC744B" w:rsidRPr="00EC744B" w:rsidRDefault="00EC744B">
      <w:pPr>
        <w:pStyle w:val="Akapitzlist"/>
        <w:numPr>
          <w:ilvl w:val="0"/>
          <w:numId w:val="36"/>
        </w:numPr>
        <w:spacing w:after="0" w:line="276" w:lineRule="auto"/>
        <w:ind w:left="284" w:hanging="284"/>
        <w:jc w:val="both"/>
      </w:pPr>
      <w:r>
        <w:lastRenderedPageBreak/>
        <w:t>A</w:t>
      </w:r>
      <w:r w:rsidRPr="00EC744B">
        <w:t xml:space="preserve">udyt </w:t>
      </w:r>
      <w:r>
        <w:t xml:space="preserve">KRI oraz aktualizacja i </w:t>
      </w:r>
      <w:r w:rsidRPr="00925358">
        <w:t xml:space="preserve">wdrożenie SZBI dla </w:t>
      </w:r>
      <w:r w:rsidR="00925358" w:rsidRPr="00925358">
        <w:t>Zamawiającego</w:t>
      </w:r>
      <w:r>
        <w:t xml:space="preserve"> muszą </w:t>
      </w:r>
      <w:r w:rsidRPr="00EC744B">
        <w:t>zost</w:t>
      </w:r>
      <w:r>
        <w:t xml:space="preserve">ać </w:t>
      </w:r>
      <w:r w:rsidRPr="00EC744B">
        <w:t>przeprowadzon</w:t>
      </w:r>
      <w:r>
        <w:t>e</w:t>
      </w:r>
      <w:r w:rsidRPr="00EC744B">
        <w:t xml:space="preserve"> przez:</w:t>
      </w:r>
    </w:p>
    <w:p w:rsidR="00EC744B" w:rsidRPr="00C12C01" w:rsidRDefault="00EC744B">
      <w:pPr>
        <w:pStyle w:val="Akapitzlist"/>
        <w:numPr>
          <w:ilvl w:val="1"/>
          <w:numId w:val="36"/>
        </w:numPr>
        <w:spacing w:after="0" w:line="276" w:lineRule="auto"/>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rsidR="00EC744B" w:rsidRPr="00EC744B" w:rsidRDefault="00EC744B">
      <w:pPr>
        <w:pStyle w:val="Akapitzlist"/>
        <w:numPr>
          <w:ilvl w:val="1"/>
          <w:numId w:val="36"/>
        </w:numPr>
        <w:spacing w:after="0" w:line="276" w:lineRule="auto"/>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PN-EN ISO/IEC 27001:2023</w:t>
      </w:r>
      <w:r w:rsidR="00A60074">
        <w:rPr>
          <w:rStyle w:val="Pogrubienie"/>
          <w:b w:val="0"/>
          <w:bCs w:val="0"/>
        </w:rPr>
        <w:t>.</w:t>
      </w:r>
    </w:p>
    <w:p w:rsidR="00413FA5" w:rsidRDefault="00413FA5">
      <w:pPr>
        <w:pStyle w:val="Akapitzlist"/>
        <w:numPr>
          <w:ilvl w:val="0"/>
          <w:numId w:val="36"/>
        </w:numPr>
        <w:spacing w:after="0" w:line="276" w:lineRule="auto"/>
        <w:ind w:left="284" w:hanging="284"/>
        <w:jc w:val="both"/>
      </w:pPr>
      <w:r>
        <w:t>Wykonawca jest zobowiązany w trakcie realizacji przedmiotu zamówienia posługiwać się osobami tylko z odpowiednim doświadczeniem, tj. nie krótszym niż 2 letnie doświadczenie w obszarze świadczonej przez daną osobę usługi na rzecz Zamawiającego.</w:t>
      </w:r>
    </w:p>
    <w:p w:rsidR="00EC744B" w:rsidRDefault="006F3F6C">
      <w:pPr>
        <w:pStyle w:val="Akapitzlist"/>
        <w:numPr>
          <w:ilvl w:val="0"/>
          <w:numId w:val="36"/>
        </w:numPr>
        <w:spacing w:after="0" w:line="276" w:lineRule="auto"/>
        <w:ind w:left="284" w:hanging="284"/>
        <w:jc w:val="both"/>
      </w:pPr>
      <w:r>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r w:rsidR="003F600C">
        <w:t>c</w:t>
      </w:r>
      <w:r>
        <w:t xml:space="preserve">yberbezpieczeństwa w zakresie </w:t>
      </w:r>
      <w:r w:rsidR="003F600C">
        <w:t>wskazanym przez Zamawiającego</w:t>
      </w:r>
      <w:r>
        <w:t xml:space="preserve"> oraz </w:t>
      </w:r>
      <w:r w:rsidR="003F600C">
        <w:t>uwzględnić w ramach aktualizacji i wdrożenia SZBI planowany w ramach realizacji projektu zakres usprawnień SZBI.</w:t>
      </w:r>
    </w:p>
    <w:p w:rsidR="003F600C" w:rsidRDefault="003F600C">
      <w:pPr>
        <w:pStyle w:val="Akapitzlist"/>
        <w:numPr>
          <w:ilvl w:val="0"/>
          <w:numId w:val="36"/>
        </w:numPr>
        <w:spacing w:after="0" w:line="276" w:lineRule="auto"/>
        <w:ind w:left="284" w:hanging="284"/>
        <w:jc w:val="both"/>
      </w:pPr>
      <w:r>
        <w:t>Wykonawca po w</w:t>
      </w:r>
      <w:r w:rsidRPr="00C834D4">
        <w:t>ykonaniu ostatniego audytu</w:t>
      </w:r>
      <w:r w:rsidRPr="003F600C">
        <w:t xml:space="preserve"> KRI</w:t>
      </w:r>
      <w:r>
        <w:t xml:space="preserve"> jest zobowiązany do uzupełnienia ankiety dojrzałości cyberbezpieczeństwa. Ankietę dojrzałości cyberbezpieczeństwa należy wypełnić w oparciu o aktualny na dzień wypełnienia ankiety wzór ankiety opublikowany na stronie: </w:t>
      </w:r>
      <w:r w:rsidRPr="003F600C">
        <w:t>https://www.gov.pl/web/cppc/cyberbezpieczny-samorzad</w:t>
      </w:r>
      <w:r>
        <w:t xml:space="preserve"> (załącznik nr 6 - Ankieta Dojrzałości Cyberbezpieczeństwa w Jednostce Samorządu Terytorialnego i Jednostkach Podległych).</w:t>
      </w:r>
    </w:p>
    <w:p w:rsidR="009E5A41" w:rsidRDefault="00353EF6">
      <w:pPr>
        <w:pStyle w:val="Akapitzlist"/>
        <w:numPr>
          <w:ilvl w:val="0"/>
          <w:numId w:val="36"/>
        </w:numPr>
        <w:spacing w:after="0" w:line="276" w:lineRule="auto"/>
        <w:ind w:left="284" w:hanging="284"/>
        <w:jc w:val="both"/>
      </w:pPr>
      <w:r>
        <w:t xml:space="preserve">Wypełnienie ankiety dojrzałości cyberbezpieczeństwa polegać będzie </w:t>
      </w:r>
      <w:r w:rsidR="00227953">
        <w:t>wypełni</w:t>
      </w:r>
      <w:r>
        <w:t>eniu</w:t>
      </w:r>
      <w:r w:rsidR="00227953">
        <w:t xml:space="preserve"> </w:t>
      </w:r>
      <w:r>
        <w:t xml:space="preserve">przez Wykonawcę kolumn </w:t>
      </w:r>
      <w:r w:rsidR="003F600C">
        <w:t>H</w:t>
      </w:r>
      <w:r>
        <w:t xml:space="preserve">, </w:t>
      </w:r>
      <w:r w:rsidR="003F600C">
        <w:t>I</w:t>
      </w:r>
      <w:r>
        <w:t xml:space="preserve"> z arkusza „Ankieta” dla </w:t>
      </w:r>
      <w:r w:rsidR="004012C6">
        <w:t>Zamawiającego na</w:t>
      </w:r>
      <w:r w:rsidR="00227953">
        <w:t xml:space="preserve"> podstawie zebranych przez Wykonawcę danych.</w:t>
      </w:r>
      <w:r w:rsidR="003F600C">
        <w:t xml:space="preserve"> Zamawiający nie dopuszcza pozostawienia pustych pól dla określonych powyżej kolumn, w przypadku jeżeli w polu opisowym nie przewiduje się zmian wówczas należy zamieścić odpowiednią informację.</w:t>
      </w:r>
      <w:r w:rsidR="00FD0BD0">
        <w:t xml:space="preserve"> </w:t>
      </w:r>
      <w:r w:rsidR="009E5A41">
        <w:t xml:space="preserve">Ankieta dojrzałości cyberbezpieczeństwa </w:t>
      </w:r>
      <w:r w:rsidR="009E5A41" w:rsidRPr="0019043E">
        <w:t xml:space="preserve">zostanie </w:t>
      </w:r>
      <w:r w:rsidR="009E5A41">
        <w:t>podpisana</w:t>
      </w:r>
      <w:r w:rsidR="009E5A41" w:rsidRPr="0019043E">
        <w:t xml:space="preserve"> przez audytora dokonującego audyt </w:t>
      </w:r>
      <w:r w:rsidR="009E5A41">
        <w:t>KRI przy wykorzystaniu kwalifikowalnego podpisu elektronicznego</w:t>
      </w:r>
      <w:r w:rsidR="009E5A41" w:rsidRPr="0019043E">
        <w:t xml:space="preserve"> i</w:t>
      </w:r>
      <w:r w:rsidR="009E5A41">
        <w:t xml:space="preserve"> </w:t>
      </w:r>
      <w:r w:rsidR="009E5A41" w:rsidRPr="0019043E">
        <w:t>dostarczon</w:t>
      </w:r>
      <w:r w:rsidR="009E5A41">
        <w:t>a</w:t>
      </w:r>
      <w:r w:rsidR="009E5A41" w:rsidRPr="0019043E">
        <w:t xml:space="preserve"> do </w:t>
      </w:r>
      <w:r w:rsidR="009E5A41">
        <w:t>Zamawiającego w formie elektronicznej.</w:t>
      </w:r>
    </w:p>
    <w:p w:rsidR="00E30491" w:rsidRDefault="00E30491">
      <w:pPr>
        <w:pStyle w:val="Akapitzlist"/>
        <w:numPr>
          <w:ilvl w:val="0"/>
          <w:numId w:val="36"/>
        </w:numPr>
        <w:spacing w:after="0" w:line="276" w:lineRule="auto"/>
        <w:ind w:left="284" w:hanging="284"/>
        <w:jc w:val="both"/>
      </w:pPr>
      <w:r>
        <w:t xml:space="preserve">Jednostki samorządu terytorialnego </w:t>
      </w:r>
      <w:r w:rsidR="00227953">
        <w:t>oraz jego jednostki podległe</w:t>
      </w:r>
      <w:r w:rsidR="00661692">
        <w:t xml:space="preserve">, które </w:t>
      </w:r>
      <w:r w:rsidR="009E5A41">
        <w:t>biorą</w:t>
      </w:r>
      <w:r w:rsidR="00661692">
        <w:t xml:space="preserve"> </w:t>
      </w:r>
      <w:r>
        <w:t>udział w</w:t>
      </w:r>
      <w:r w:rsidR="000E6BA0">
        <w:t> </w:t>
      </w:r>
      <w:r>
        <w:t>projekcie „</w:t>
      </w:r>
      <w:r w:rsidR="00227953">
        <w:t>Cyberbezpieczny Samorząd</w:t>
      </w:r>
      <w:r>
        <w:t>”</w:t>
      </w:r>
      <w:r w:rsidRPr="00290D94">
        <w:t xml:space="preserve"> </w:t>
      </w:r>
      <w:r w:rsidR="009E5A41">
        <w:t>są</w:t>
      </w:r>
      <w:r w:rsidR="00661692">
        <w:t xml:space="preserve"> </w:t>
      </w:r>
      <w:r w:rsidRPr="00290D94">
        <w:t xml:space="preserve">zobowiązane do </w:t>
      </w:r>
      <w:r w:rsidR="000E6BA0">
        <w:t xml:space="preserve">przesłania do NASK raportu z audytu KRI oraz </w:t>
      </w:r>
      <w:r w:rsidR="00227953">
        <w:t>wypełni</w:t>
      </w:r>
      <w:r w:rsidR="000E6BA0">
        <w:t>onej</w:t>
      </w:r>
      <w:r w:rsidR="00227953">
        <w:t xml:space="preserve"> ankiety dojrzałości cyberbezpieczeństwa</w:t>
      </w:r>
      <w:r w:rsidR="000E6BA0">
        <w:t>. Niezwłocznie po ich przekazaniu przez Wykonawcę dokumenty te</w:t>
      </w:r>
      <w:r w:rsidR="00227953">
        <w:t xml:space="preserve"> zostan</w:t>
      </w:r>
      <w:r w:rsidR="000E6BA0">
        <w:t xml:space="preserve">ą </w:t>
      </w:r>
      <w:r w:rsidRPr="00290D94">
        <w:t>przekazan</w:t>
      </w:r>
      <w:r w:rsidR="000E6BA0">
        <w:t>e</w:t>
      </w:r>
      <w:r w:rsidRPr="00290D94">
        <w:t xml:space="preserve"> </w:t>
      </w:r>
      <w:r>
        <w:t xml:space="preserve">przez Zamawiającego </w:t>
      </w:r>
      <w:r w:rsidRPr="00290D94">
        <w:t>do Naukowej i Akademickiej Sieci Komputerowej – Państwowego Instytutu Badawczego (NASK) za pośrednictwem platformy ePUAP</w:t>
      </w:r>
      <w:r>
        <w:t>.</w:t>
      </w:r>
      <w:r w:rsidRPr="00290D94">
        <w:t xml:space="preserve"> Dane </w:t>
      </w:r>
      <w:r w:rsidR="000E6BA0">
        <w:t>z tej dokumentacji</w:t>
      </w:r>
      <w:r w:rsidRPr="00290D94">
        <w:t xml:space="preserve"> przekazane przez JST do NASK posłużą do opracowania raportu na temat stanu bezpieczeństwa systemów jednostek samorządowych.</w:t>
      </w:r>
      <w:r>
        <w:t xml:space="preserve"> Wykonawca jest zobowiązany mieć na uwadze </w:t>
      </w:r>
      <w:r w:rsidR="000E6BA0">
        <w:t xml:space="preserve">także </w:t>
      </w:r>
      <w:r>
        <w:t>powyż</w:t>
      </w:r>
      <w:r w:rsidR="000E6BA0">
        <w:t>ej</w:t>
      </w:r>
      <w:r>
        <w:t xml:space="preserve"> </w:t>
      </w:r>
      <w:r w:rsidR="000E6BA0">
        <w:t xml:space="preserve">wskazany </w:t>
      </w:r>
      <w:r>
        <w:t xml:space="preserve">cel przeprowadzenia </w:t>
      </w:r>
      <w:r w:rsidR="000E6BA0">
        <w:t>zamówienia</w:t>
      </w:r>
      <w:r>
        <w:t xml:space="preserve"> i je</w:t>
      </w:r>
      <w:r w:rsidR="000E6BA0">
        <w:t>go</w:t>
      </w:r>
      <w:r>
        <w:t xml:space="preserve"> przeznaczenie.</w:t>
      </w:r>
    </w:p>
    <w:p w:rsidR="009B149F" w:rsidRDefault="009B149F">
      <w:pPr>
        <w:pStyle w:val="Akapitzlist"/>
        <w:numPr>
          <w:ilvl w:val="0"/>
          <w:numId w:val="36"/>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oraz akty wykonawcze wydane do niej. </w:t>
      </w:r>
      <w:r w:rsidR="001B7D97">
        <w:t>W przypadku jeżeli w okresie realizacji zamówienia zostanie przyjęta ustaw</w:t>
      </w:r>
      <w:r w:rsidR="00DF4C3B">
        <w:t>a</w:t>
      </w:r>
      <w:r w:rsidR="001B7D97">
        <w:t xml:space="preserve"> o zmianie ustawy o krajowym systemie cyberbezpieczeństwa oraz niektórych innych ustaw </w:t>
      </w:r>
      <w:r w:rsidR="00DF4C3B">
        <w:t xml:space="preserve">bądź inne przepisy </w:t>
      </w:r>
      <w:r w:rsidR="001B7D97">
        <w:t>implementując</w:t>
      </w:r>
      <w:r w:rsidR="00DF4C3B">
        <w:t>e</w:t>
      </w:r>
      <w:r w:rsidR="001B7D97">
        <w:t xml:space="preserve"> </w:t>
      </w:r>
      <w:r w:rsidR="00DF4C3B">
        <w:lastRenderedPageBreak/>
        <w:t xml:space="preserve">Dyrektywę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w polski system prawny Wykonawca ma obowiązek uwzględnić wszystkie ich </w:t>
      </w:r>
      <w:r w:rsidR="005732DF">
        <w:t>wymagania</w:t>
      </w:r>
      <w:r w:rsidR="00DF4C3B">
        <w:t xml:space="preserve"> przy świadczeniu usług objętych niniejszym zamówieniem </w:t>
      </w:r>
      <w:r w:rsidR="00A20F2B">
        <w:t>zarówno w trakcie realizacji zamówienia jak i w trakcie okresu gwarancji.</w:t>
      </w:r>
    </w:p>
    <w:p w:rsidR="00CE6FE7" w:rsidRPr="00CE6FE7" w:rsidRDefault="00CE6FE7">
      <w:pPr>
        <w:pStyle w:val="Akapitzlist"/>
        <w:numPr>
          <w:ilvl w:val="0"/>
          <w:numId w:val="36"/>
        </w:numPr>
        <w:spacing w:after="0" w:line="276" w:lineRule="auto"/>
        <w:ind w:left="284" w:hanging="284"/>
        <w:jc w:val="both"/>
      </w:pPr>
      <w:r w:rsidRPr="00CE6FE7">
        <w:t xml:space="preserve">Na wszystkie usługi Wykonawca udzieli </w:t>
      </w:r>
      <w:r w:rsidRPr="00602643">
        <w:t xml:space="preserve">gwarancji nie dłużej niż do </w:t>
      </w:r>
      <w:r w:rsidRPr="00B55CF0">
        <w:t xml:space="preserve">dnia </w:t>
      </w:r>
      <w:r w:rsidR="00B55CF0" w:rsidRPr="00B55CF0">
        <w:t>30.06</w:t>
      </w:r>
      <w:r w:rsidR="00AA4C83" w:rsidRPr="00B55CF0">
        <w:t xml:space="preserve">.2026 r. </w:t>
      </w:r>
      <w:r w:rsidRPr="00B55CF0">
        <w:t>polegającej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rsidR="003C32EB" w:rsidRDefault="00B87D65">
      <w:pPr>
        <w:rPr>
          <w:rFonts w:asciiTheme="majorHAnsi" w:eastAsiaTheme="majorEastAsia" w:hAnsiTheme="majorHAnsi" w:cstheme="majorBidi"/>
          <w:color w:val="2F5496" w:themeColor="accent1" w:themeShade="BF"/>
          <w:sz w:val="32"/>
          <w:szCs w:val="32"/>
        </w:rPr>
      </w:pPr>
      <w:r>
        <w:br w:type="page"/>
      </w:r>
    </w:p>
    <w:p w:rsidR="002D2D53" w:rsidRDefault="002D2D53" w:rsidP="00546BF4">
      <w:pPr>
        <w:pStyle w:val="Nagwek1"/>
        <w:numPr>
          <w:ilvl w:val="1"/>
          <w:numId w:val="1"/>
        </w:numPr>
        <w:spacing w:after="240" w:line="276" w:lineRule="auto"/>
      </w:pPr>
      <w:bookmarkStart w:id="7" w:name="_Toc199087735"/>
      <w:r w:rsidRPr="002D2D53">
        <w:lastRenderedPageBreak/>
        <w:t>Zakup usług aktualizacji i wdrożenia SZBI</w:t>
      </w:r>
      <w:r w:rsidR="0037753B">
        <w:t xml:space="preserve"> wraz z opracowaniem polityki bezpieczeństwa informacji</w:t>
      </w:r>
      <w:r>
        <w:t>.</w:t>
      </w:r>
      <w:bookmarkEnd w:id="7"/>
    </w:p>
    <w:p w:rsidR="002D2D53" w:rsidRPr="006D3480" w:rsidRDefault="002D2D53" w:rsidP="002D2D53">
      <w:pPr>
        <w:spacing w:line="276" w:lineRule="auto"/>
        <w:jc w:val="both"/>
        <w:rPr>
          <w:rFonts w:cstheme="minorHAnsi"/>
        </w:rPr>
      </w:pPr>
      <w:r w:rsidRPr="006D3480">
        <w:rPr>
          <w:rFonts w:cstheme="minorHAnsi"/>
        </w:rPr>
        <w:t xml:space="preserve">Celem usługi w ramach działania będzie aktualizacja </w:t>
      </w:r>
      <w:r>
        <w:rPr>
          <w:rFonts w:cstheme="minorHAnsi"/>
        </w:rPr>
        <w:t xml:space="preserve">i wdrożenie </w:t>
      </w:r>
      <w:r w:rsidRPr="006D3480">
        <w:rPr>
          <w:rFonts w:cstheme="minorHAnsi"/>
        </w:rPr>
        <w:t xml:space="preserve">procedur </w:t>
      </w:r>
      <w:r>
        <w:rPr>
          <w:rFonts w:cstheme="minorHAnsi"/>
        </w:rPr>
        <w:t xml:space="preserve">systemu </w:t>
      </w:r>
      <w:r w:rsidRPr="006D3480">
        <w:rPr>
          <w:rFonts w:cstheme="minorHAnsi"/>
        </w:rPr>
        <w:t xml:space="preserve">zarządzania bezpieczeństwem informacji </w:t>
      </w:r>
      <w:r w:rsidRPr="007D7328">
        <w:rPr>
          <w:rFonts w:cstheme="minorHAnsi"/>
        </w:rPr>
        <w:t xml:space="preserve">wdrożonych </w:t>
      </w:r>
      <w:r w:rsidR="00925358">
        <w:rPr>
          <w:rFonts w:cstheme="minorHAnsi"/>
        </w:rPr>
        <w:t xml:space="preserve">u Zamawiającego </w:t>
      </w:r>
      <w:r w:rsidRPr="007D7328">
        <w:rPr>
          <w:rFonts w:cstheme="minorHAnsi"/>
        </w:rPr>
        <w:t>z uwzględnieniem</w:t>
      </w:r>
      <w:r w:rsidRPr="006D3480">
        <w:rPr>
          <w:rFonts w:cstheme="minorHAnsi"/>
        </w:rPr>
        <w:t xml:space="preserve"> uwarunkowań i</w:t>
      </w:r>
      <w:r w:rsidR="00925358">
        <w:rPr>
          <w:rFonts w:cstheme="minorHAnsi"/>
        </w:rPr>
        <w:t> </w:t>
      </w:r>
      <w:r w:rsidRPr="006D3480">
        <w:rPr>
          <w:rFonts w:cstheme="minorHAnsi"/>
        </w:rPr>
        <w:t>specyfiki projektu oraz specyfiki jednost</w:t>
      </w:r>
      <w:r>
        <w:rPr>
          <w:rFonts w:cstheme="minorHAnsi"/>
        </w:rPr>
        <w:t>ek</w:t>
      </w:r>
      <w:r w:rsidRPr="006D3480">
        <w:rPr>
          <w:rFonts w:cstheme="minorHAnsi"/>
        </w:rPr>
        <w:t xml:space="preserve">. Analiza zostanie przeprowadzona zgodnie z wymogami ISO/IEC 19011:2002. W efekcie zostanie zaktualizowana </w:t>
      </w:r>
      <w:r>
        <w:rPr>
          <w:rFonts w:cstheme="minorHAnsi"/>
        </w:rPr>
        <w:t xml:space="preserve">także </w:t>
      </w:r>
      <w:r w:rsidRPr="006D3480">
        <w:rPr>
          <w:rFonts w:cstheme="minorHAnsi"/>
        </w:rPr>
        <w:t>polityka bezpieczeństwa w zakresie ochrony danych osobowych. Usługa obejmuje również aktualizację dokumentów opisujących zbiory danych i ich zgodność z wymogami prawnymi oraz aktualizację dokumentów opisujących miejsca i</w:t>
      </w:r>
      <w:r w:rsidR="00925358">
        <w:rPr>
          <w:rFonts w:cstheme="minorHAnsi"/>
        </w:rPr>
        <w:t> </w:t>
      </w:r>
      <w:r w:rsidRPr="006D3480">
        <w:rPr>
          <w:rFonts w:cstheme="minorHAnsi"/>
        </w:rPr>
        <w:t xml:space="preserve">sposoby przetwarzania danych osobowych. </w:t>
      </w:r>
    </w:p>
    <w:p w:rsidR="002D2D53" w:rsidRPr="006D3480" w:rsidRDefault="002D2D53" w:rsidP="002D2D53">
      <w:pPr>
        <w:spacing w:line="276" w:lineRule="auto"/>
        <w:contextualSpacing/>
        <w:jc w:val="both"/>
        <w:rPr>
          <w:rFonts w:cstheme="minorHAnsi"/>
        </w:rPr>
      </w:pPr>
      <w:r w:rsidRPr="006D3480">
        <w:rPr>
          <w:rFonts w:cstheme="minorHAnsi"/>
        </w:rPr>
        <w:t xml:space="preserve">Na usługę </w:t>
      </w:r>
      <w:r>
        <w:rPr>
          <w:rFonts w:cstheme="minorHAnsi"/>
        </w:rPr>
        <w:t xml:space="preserve">aktualizacji, </w:t>
      </w:r>
      <w:r w:rsidRPr="006D3480">
        <w:rPr>
          <w:rFonts w:cstheme="minorHAnsi"/>
        </w:rPr>
        <w:t>opracowania i wdrożenia Systemu Zarządzania Bezpieczeństwem Informacji składają się</w:t>
      </w:r>
      <w:r>
        <w:rPr>
          <w:rFonts w:cstheme="minorHAnsi"/>
        </w:rPr>
        <w:t xml:space="preserve"> co najmniej</w:t>
      </w:r>
      <w:r w:rsidRPr="006D3480">
        <w:rPr>
          <w:rFonts w:cstheme="minorHAnsi"/>
        </w:rPr>
        <w:t>:</w:t>
      </w:r>
    </w:p>
    <w:p w:rsidR="002D2D53" w:rsidRPr="006D3480" w:rsidRDefault="002D2D53">
      <w:pPr>
        <w:numPr>
          <w:ilvl w:val="0"/>
          <w:numId w:val="6"/>
        </w:numPr>
        <w:spacing w:after="120" w:line="276" w:lineRule="auto"/>
        <w:ind w:left="279" w:hanging="279"/>
        <w:contextualSpacing/>
        <w:jc w:val="both"/>
        <w:rPr>
          <w:rFonts w:cstheme="minorHAnsi"/>
        </w:rPr>
      </w:pPr>
      <w:r w:rsidRPr="006D3480">
        <w:rPr>
          <w:rFonts w:cstheme="minorHAnsi"/>
        </w:rPr>
        <w:t>Wykonanie oceny obecnej dostępnej dokumentacji.</w:t>
      </w:r>
    </w:p>
    <w:p w:rsidR="002D2D53" w:rsidRPr="006D3480" w:rsidRDefault="002D2D53">
      <w:pPr>
        <w:numPr>
          <w:ilvl w:val="0"/>
          <w:numId w:val="6"/>
        </w:numPr>
        <w:spacing w:after="120" w:line="276" w:lineRule="auto"/>
        <w:ind w:left="279" w:hanging="279"/>
        <w:contextualSpacing/>
        <w:jc w:val="both"/>
        <w:rPr>
          <w:rFonts w:cstheme="minorHAnsi"/>
        </w:rPr>
      </w:pPr>
      <w:r w:rsidRPr="006D3480">
        <w:rPr>
          <w:rFonts w:cstheme="minorHAnsi"/>
        </w:rPr>
        <w:t xml:space="preserve">Określenie stanu faktycznego zabezpieczeń danych w systemach informatycznych poprzez przeprowadzenie audytu zabezpieczeń dostępu do danych oraz przygotowanie raportu wraz z zaleceniami i projektem zmian spełnienie wymagań normy </w:t>
      </w:r>
      <w:r w:rsidR="00A60074" w:rsidRPr="00A60074">
        <w:rPr>
          <w:rStyle w:val="Pogrubienie"/>
          <w:b w:val="0"/>
          <w:bCs w:val="0"/>
        </w:rPr>
        <w:t>PN-EN ISO/IEC 27001:2023</w:t>
      </w:r>
      <w:r w:rsidR="00A60074">
        <w:rPr>
          <w:rStyle w:val="Pogrubienie"/>
        </w:rPr>
        <w:t xml:space="preserve"> </w:t>
      </w:r>
      <w:r w:rsidRPr="006D3480">
        <w:rPr>
          <w:rFonts w:cstheme="minorHAnsi"/>
        </w:rPr>
        <w:t>i zaleceń norm pokrewnych, oraz wymagań prawnych nałożonych na organizację, między innymi dotyczących ochrony danych osobowych.</w:t>
      </w:r>
    </w:p>
    <w:p w:rsidR="002D2D53" w:rsidRPr="006D3480" w:rsidRDefault="002D2D53">
      <w:pPr>
        <w:numPr>
          <w:ilvl w:val="0"/>
          <w:numId w:val="6"/>
        </w:numPr>
        <w:spacing w:after="120" w:line="276" w:lineRule="auto"/>
        <w:ind w:left="279" w:hanging="279"/>
        <w:contextualSpacing/>
        <w:jc w:val="both"/>
        <w:rPr>
          <w:rFonts w:cstheme="minorHAnsi"/>
        </w:rPr>
      </w:pPr>
      <w:r w:rsidRPr="006D3480">
        <w:rPr>
          <w:rFonts w:cstheme="minorHAnsi"/>
        </w:rPr>
        <w:t>Przeprowadzenie instruktażu wprowadzającego dla pracowników w zakresie ochrony informacji, inwentaryzacji aktywów informacyjnych oraz oceny ryzyka.</w:t>
      </w:r>
    </w:p>
    <w:p w:rsidR="002D2D53" w:rsidRPr="006D3480" w:rsidRDefault="002D2D53">
      <w:pPr>
        <w:numPr>
          <w:ilvl w:val="0"/>
          <w:numId w:val="6"/>
        </w:numPr>
        <w:spacing w:after="120" w:line="276" w:lineRule="auto"/>
        <w:ind w:left="279" w:hanging="279"/>
        <w:contextualSpacing/>
        <w:jc w:val="both"/>
        <w:rPr>
          <w:rFonts w:cstheme="minorHAnsi"/>
        </w:rPr>
      </w:pPr>
      <w:r>
        <w:rPr>
          <w:rFonts w:cstheme="minorHAnsi"/>
        </w:rPr>
        <w:t>Aktualizacja/o</w:t>
      </w:r>
      <w:r w:rsidRPr="006D3480">
        <w:rPr>
          <w:rFonts w:cstheme="minorHAnsi"/>
        </w:rPr>
        <w:t xml:space="preserve">pracowanie Polityki Bezpieczeństwa zgodnej z wymaganiami normy </w:t>
      </w:r>
      <w:r w:rsidR="00A60074" w:rsidRPr="00A60074">
        <w:rPr>
          <w:rStyle w:val="Pogrubienie"/>
          <w:b w:val="0"/>
          <w:bCs w:val="0"/>
        </w:rPr>
        <w:t>PN-EN ISO/IEC 27001:2023</w:t>
      </w:r>
      <w:r w:rsidRPr="006D3480">
        <w:rPr>
          <w:rFonts w:cstheme="minorHAnsi"/>
        </w:rPr>
        <w:t xml:space="preserve"> i zaleceń norm pokrewnych, oraz wymagań prawnych nałożonych na organizację, między innymi dotyczących ochrony danych osobowych w zakresie:</w:t>
      </w:r>
    </w:p>
    <w:p w:rsidR="002D2D53" w:rsidRPr="006D3480" w:rsidRDefault="002D2D53">
      <w:pPr>
        <w:numPr>
          <w:ilvl w:val="0"/>
          <w:numId w:val="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organizacja systemu bezpieczeństwa informacji;</w:t>
      </w:r>
    </w:p>
    <w:p w:rsidR="002D2D53" w:rsidRPr="006D3480" w:rsidRDefault="002D2D53">
      <w:pPr>
        <w:numPr>
          <w:ilvl w:val="0"/>
          <w:numId w:val="7"/>
        </w:numPr>
        <w:autoSpaceDE w:val="0"/>
        <w:autoSpaceDN w:val="0"/>
        <w:adjustRightInd w:val="0"/>
        <w:spacing w:after="120" w:line="276" w:lineRule="auto"/>
        <w:contextualSpacing/>
        <w:jc w:val="both"/>
        <w:rPr>
          <w:rFonts w:cstheme="minorHAnsi"/>
          <w:color w:val="000000"/>
          <w:lang w:eastAsia="zh-CN"/>
        </w:rPr>
      </w:pPr>
      <w:r w:rsidRPr="006D3480">
        <w:rPr>
          <w:rFonts w:cstheme="minorHAnsi"/>
          <w:color w:val="000000"/>
          <w:lang w:eastAsia="zh-CN"/>
        </w:rPr>
        <w:t>zarządzanie aktywami;</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zasobami ludzkimi;</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organizacja bezpieczeństwa fizycznego i środowiskowego;</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komunikacją i eksploatacją;</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rejestr czynności przetwarzania i rejestr kategorii czynności przetwarzania;</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kontrola dostępu, zarządzania hasłami, stosowania zabezpieczeń kryptograficznych, czystego biurka i czystego ekranu, usuwania i niszczenia informacji, pracy w strefach bezpieczeństwa;</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akwizycja, rozwój i utrzymanie systemu;</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incydentami związanymi z bezpieczeństwem informacji;</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zarządzanie ciągłością działania;</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kopiami zapasowymi;</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zarządzania monitoringiem;</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zobowiązanie do zachowania poufności, stosowania polityk i procedur SZBI;</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używania urządzeń komputerowych;</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metoda szacowania i postępowania z ryzykiem;</w:t>
      </w:r>
    </w:p>
    <w:p w:rsidR="002D2D53" w:rsidRPr="006D3480" w:rsidRDefault="002D2D53">
      <w:pPr>
        <w:numPr>
          <w:ilvl w:val="0"/>
          <w:numId w:val="7"/>
        </w:numPr>
        <w:autoSpaceDE w:val="0"/>
        <w:autoSpaceDN w:val="0"/>
        <w:adjustRightInd w:val="0"/>
        <w:spacing w:after="120" w:line="276" w:lineRule="auto"/>
        <w:contextualSpacing/>
        <w:jc w:val="both"/>
        <w:rPr>
          <w:rFonts w:cstheme="minorHAnsi"/>
          <w:lang w:eastAsia="zh-CN"/>
        </w:rPr>
      </w:pPr>
      <w:r w:rsidRPr="006D3480">
        <w:rPr>
          <w:rFonts w:cstheme="minorHAnsi"/>
          <w:lang w:eastAsia="zh-CN"/>
        </w:rPr>
        <w:t>deklaracja stosowania</w:t>
      </w:r>
    </w:p>
    <w:p w:rsidR="002D2D53" w:rsidRDefault="002D2D53">
      <w:pPr>
        <w:numPr>
          <w:ilvl w:val="0"/>
          <w:numId w:val="6"/>
        </w:numPr>
        <w:spacing w:after="120" w:line="276" w:lineRule="auto"/>
        <w:ind w:left="279" w:hanging="279"/>
        <w:contextualSpacing/>
        <w:jc w:val="both"/>
        <w:rPr>
          <w:rFonts w:cstheme="minorHAnsi"/>
        </w:rPr>
      </w:pPr>
      <w:r w:rsidRPr="006D3480">
        <w:rPr>
          <w:rFonts w:cstheme="minorHAnsi"/>
        </w:rPr>
        <w:t xml:space="preserve">Wdrożenie Polityki Bezpieczeństwa Informacji. Poprzez wdrożenie należy rozumieć </w:t>
      </w:r>
      <w:r>
        <w:rPr>
          <w:rFonts w:cstheme="minorHAnsi"/>
        </w:rPr>
        <w:t>także aktualizację/</w:t>
      </w:r>
      <w:r w:rsidRPr="006D3480">
        <w:rPr>
          <w:rFonts w:cstheme="minorHAnsi"/>
        </w:rPr>
        <w:t xml:space="preserve">utworzenie odpowiednich dokumentów po konsultacjach z pracownikami </w:t>
      </w:r>
      <w:r w:rsidR="0032269A">
        <w:rPr>
          <w:rFonts w:cstheme="minorHAnsi"/>
        </w:rPr>
        <w:t>Zamawiającego</w:t>
      </w:r>
      <w:r w:rsidRPr="006D3480">
        <w:rPr>
          <w:rFonts w:cstheme="minorHAnsi"/>
        </w:rPr>
        <w:t xml:space="preserve">, zatwierdzenie dokumentacji przez Kierownictwo </w:t>
      </w:r>
      <w:r w:rsidR="0032269A">
        <w:rPr>
          <w:rFonts w:cstheme="minorHAnsi"/>
        </w:rPr>
        <w:t>Zamawiającego</w:t>
      </w:r>
      <w:r w:rsidRPr="006D3480">
        <w:rPr>
          <w:rFonts w:cstheme="minorHAnsi"/>
        </w:rPr>
        <w:t xml:space="preserve"> oraz przeprowadzenie instruktażu pracowników w zakresie wykonywania obowiązków zgodnie </w:t>
      </w:r>
      <w:r w:rsidRPr="006D3480">
        <w:rPr>
          <w:rFonts w:cstheme="minorHAnsi"/>
        </w:rPr>
        <w:lastRenderedPageBreak/>
        <w:t>z</w:t>
      </w:r>
      <w:r w:rsidR="0032269A">
        <w:rPr>
          <w:rFonts w:cstheme="minorHAnsi"/>
        </w:rPr>
        <w:t> </w:t>
      </w:r>
      <w:r w:rsidRPr="006D3480">
        <w:rPr>
          <w:rFonts w:cstheme="minorHAnsi"/>
        </w:rPr>
        <w:t>opracowanym sposobem postępowania w dokumentacji Systemu Zarządzania Bezpieczeństwem Informacji.</w:t>
      </w:r>
    </w:p>
    <w:p w:rsidR="00A63A24" w:rsidRDefault="00A63A24" w:rsidP="00A63A24">
      <w:pPr>
        <w:spacing w:after="120" w:line="276" w:lineRule="auto"/>
        <w:contextualSpacing/>
        <w:jc w:val="both"/>
        <w:rPr>
          <w:rFonts w:cstheme="minorHAnsi"/>
        </w:rPr>
      </w:pPr>
    </w:p>
    <w:p w:rsidR="00A63A24" w:rsidRDefault="00A63A24" w:rsidP="00A63A24">
      <w:pPr>
        <w:spacing w:after="120" w:line="276" w:lineRule="auto"/>
        <w:contextualSpacing/>
        <w:jc w:val="both"/>
        <w:rPr>
          <w:rFonts w:cstheme="minorHAnsi"/>
        </w:rPr>
      </w:pPr>
      <w:r>
        <w:rPr>
          <w:rFonts w:cstheme="minorHAnsi"/>
        </w:rPr>
        <w:t>Ponad to:</w:t>
      </w:r>
    </w:p>
    <w:p w:rsidR="00C65D63" w:rsidRPr="00A138C9" w:rsidRDefault="00C65D63">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w:t>
      </w:r>
      <w:r w:rsidR="00A03D2F" w:rsidRPr="00A138C9">
        <w:rPr>
          <w:rFonts w:cstheme="minorHAnsi"/>
        </w:rPr>
        <w:t>/zaktualizuje</w:t>
      </w:r>
      <w:r w:rsidRPr="00A138C9">
        <w:rPr>
          <w:rFonts w:cstheme="minorHAnsi"/>
        </w:rPr>
        <w:t xml:space="preserve"> procedury bezpieczeństwa fizycznego obejmujące obowiązek wyznaczania osoby odpowiedzialnej za bezpieczeństwo fizyczne. </w:t>
      </w:r>
    </w:p>
    <w:p w:rsidR="00C65D63" w:rsidRPr="00A138C9" w:rsidRDefault="00A03D2F">
      <w:pPr>
        <w:numPr>
          <w:ilvl w:val="0"/>
          <w:numId w:val="22"/>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zasad</w:t>
      </w:r>
      <w:r w:rsidRPr="00A138C9">
        <w:rPr>
          <w:rFonts w:cstheme="minorHAnsi"/>
        </w:rPr>
        <w:t>y</w:t>
      </w:r>
      <w:r w:rsidR="00C65D63" w:rsidRPr="00A138C9">
        <w:rPr>
          <w:rFonts w:cstheme="minorHAnsi"/>
        </w:rPr>
        <w:t xml:space="preserve"> odpowiedzialności za cyberbezpieczeństwo </w:t>
      </w:r>
      <w:r w:rsidRPr="00A138C9">
        <w:rPr>
          <w:rFonts w:cstheme="minorHAnsi"/>
        </w:rPr>
        <w:t>wraz ze wskazaniem</w:t>
      </w:r>
      <w:r w:rsidR="00C65D63" w:rsidRPr="00A138C9">
        <w:rPr>
          <w:rFonts w:cstheme="minorHAnsi"/>
        </w:rPr>
        <w:t xml:space="preserve"> obowiązku wyznaczania osoby odpowiedzialnej za cyberbezpieczeństwo.</w:t>
      </w:r>
    </w:p>
    <w:p w:rsidR="00C65D63" w:rsidRPr="00A138C9" w:rsidRDefault="00A03D2F">
      <w:pPr>
        <w:numPr>
          <w:ilvl w:val="0"/>
          <w:numId w:val="22"/>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C65D63" w:rsidRPr="00A138C9">
        <w:rPr>
          <w:rFonts w:cstheme="minorHAnsi"/>
        </w:rPr>
        <w:t>polityk</w:t>
      </w:r>
      <w:r w:rsidRPr="00A138C9">
        <w:rPr>
          <w:rFonts w:cstheme="minorHAnsi"/>
        </w:rPr>
        <w:t xml:space="preserve">ę </w:t>
      </w:r>
      <w:r w:rsidR="00C65D63" w:rsidRPr="00A138C9">
        <w:rPr>
          <w:rFonts w:cstheme="minorHAnsi"/>
        </w:rPr>
        <w:t>szkoleń z zakresu cyberbezpieczeństwa wraz z wprowadzeniem obowiązku regularnego, corocznego prowadzenia szkoleń.</w:t>
      </w:r>
    </w:p>
    <w:p w:rsidR="00C65D63" w:rsidRPr="00A138C9" w:rsidRDefault="00A03D2F">
      <w:pPr>
        <w:numPr>
          <w:ilvl w:val="0"/>
          <w:numId w:val="22"/>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w:t>
      </w:r>
      <w:r w:rsidR="00A138C9">
        <w:rPr>
          <w:rFonts w:cstheme="minorHAnsi"/>
        </w:rPr>
        <w:t xml:space="preserve">treść </w:t>
      </w:r>
      <w:r w:rsidR="00C65D63" w:rsidRPr="00A138C9">
        <w:rPr>
          <w:rFonts w:cstheme="minorHAnsi"/>
        </w:rPr>
        <w:t>zarządzeni</w:t>
      </w:r>
      <w:r w:rsidR="00A138C9">
        <w:rPr>
          <w:rFonts w:cstheme="minorHAnsi"/>
        </w:rPr>
        <w:t>a</w:t>
      </w:r>
      <w:r w:rsidR="00C65D63" w:rsidRPr="00A138C9">
        <w:rPr>
          <w:rFonts w:cstheme="minorHAnsi"/>
        </w:rPr>
        <w:t xml:space="preserve"> </w:t>
      </w:r>
      <w:r w:rsidRPr="00A138C9">
        <w:rPr>
          <w:rFonts w:cstheme="minorHAnsi"/>
        </w:rPr>
        <w:t>wdrażające</w:t>
      </w:r>
      <w:r w:rsidR="00A138C9">
        <w:rPr>
          <w:rFonts w:cstheme="minorHAnsi"/>
        </w:rPr>
        <w:t>go</w:t>
      </w:r>
      <w:r w:rsidR="00C65D63" w:rsidRPr="00A138C9">
        <w:rPr>
          <w:rFonts w:cstheme="minorHAnsi"/>
        </w:rPr>
        <w:t xml:space="preserve"> SZBI dla </w:t>
      </w:r>
      <w:r w:rsidR="00925358" w:rsidRPr="00A138C9">
        <w:rPr>
          <w:rFonts w:cstheme="minorHAnsi"/>
        </w:rPr>
        <w:t>Zamawiającego</w:t>
      </w:r>
      <w:r w:rsidRPr="00A138C9">
        <w:rPr>
          <w:rFonts w:cstheme="minorHAnsi"/>
        </w:rPr>
        <w:t>.</w:t>
      </w:r>
    </w:p>
    <w:p w:rsidR="00210DD0" w:rsidRPr="00A138C9" w:rsidRDefault="00210DD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obejmujący systematyczne tworzenie raportów oceny ryzyka w Jednostce oraz konieczność cyklicznego przeglądu tego raportu przez Kierownika JST.</w:t>
      </w:r>
    </w:p>
    <w:p w:rsidR="00210DD0" w:rsidRPr="00A138C9" w:rsidRDefault="00210DD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szczegółowy sposób realizacji celów oraz we współpracy z Zamawiającym przypisze odpowiedzialności za ich realizację.</w:t>
      </w:r>
    </w:p>
    <w:p w:rsidR="00DC1050" w:rsidRPr="00A138C9" w:rsidRDefault="005803B8">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w:t>
      </w:r>
      <w:r w:rsidR="00DC1050" w:rsidRPr="00A138C9">
        <w:rPr>
          <w:rFonts w:cstheme="minorHAnsi"/>
        </w:rPr>
        <w:t xml:space="preserve"> procedurę wprowadzającą obowiązek regularnego, corocznego przeglądu PBI jednostki.</w:t>
      </w:r>
    </w:p>
    <w:p w:rsidR="00DC1050" w:rsidRPr="00A138C9" w:rsidRDefault="00DC105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szkoleń obejmującą obowiązek informowania o zmianach w PBI w toku okresowych szkoleń stanowiskowych.</w:t>
      </w:r>
    </w:p>
    <w:p w:rsidR="00DC1050" w:rsidRPr="00A138C9" w:rsidRDefault="00DC105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kluczowe aktywa informacyjne Jednostki (zbiory danych/systemy/usługi).</w:t>
      </w:r>
    </w:p>
    <w:p w:rsidR="00210DD0" w:rsidRPr="00A138C9" w:rsidRDefault="00DC105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rejestr ryzyk uwzględniający aktywa Jednostki.</w:t>
      </w:r>
    </w:p>
    <w:p w:rsidR="00DC1050" w:rsidRPr="00A138C9" w:rsidRDefault="00DC105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zagrożenia związane z cyberbezpieczeństwem w ramach procesów zarządczych oraz zarządzania ryzykiem.</w:t>
      </w:r>
    </w:p>
    <w:p w:rsidR="008A6882" w:rsidRPr="00A138C9" w:rsidRDefault="008A6882">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plan postępowania z ryzkiem związany</w:t>
      </w:r>
      <w:r w:rsidR="00A138C9" w:rsidRPr="00A138C9">
        <w:rPr>
          <w:rFonts w:cstheme="minorHAnsi"/>
        </w:rPr>
        <w:t>m</w:t>
      </w:r>
      <w:r w:rsidRPr="00A138C9">
        <w:rPr>
          <w:rFonts w:cstheme="minorHAnsi"/>
        </w:rPr>
        <w:t xml:space="preserve"> z zagrożeniami bezpieczeństwa informacji.</w:t>
      </w:r>
    </w:p>
    <w:p w:rsidR="008A6882" w:rsidRPr="00A138C9" w:rsidRDefault="008A6882">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używania do określenia w Jednostce zagrożeń, podatności, prawdopodobieństwa ich wystąpienia i skutków.</w:t>
      </w:r>
    </w:p>
    <w:p w:rsidR="00DC1050" w:rsidRPr="00A138C9" w:rsidRDefault="009A76C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obowiązek identyfikacji i priorytetyzacji odpowiedzi na ryzyka.</w:t>
      </w:r>
    </w:p>
    <w:p w:rsidR="009A76C0" w:rsidRPr="00A138C9" w:rsidRDefault="009A76C0">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uwzględniającą system oceny ryzyka.</w:t>
      </w:r>
    </w:p>
    <w:p w:rsidR="009A76C0" w:rsidRPr="00A138C9" w:rsidRDefault="00C5647C">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ryzykiem cyberbezpieczeństwa uwzględniającą identyfikowane, ustanawiane i oceniane ryzyka.</w:t>
      </w:r>
    </w:p>
    <w:p w:rsidR="00C5647C" w:rsidRPr="00A138C9" w:rsidRDefault="00C5647C">
      <w:pPr>
        <w:numPr>
          <w:ilvl w:val="0"/>
          <w:numId w:val="22"/>
        </w:numPr>
        <w:spacing w:after="120" w:line="276" w:lineRule="auto"/>
        <w:ind w:left="279" w:hanging="279"/>
        <w:contextualSpacing/>
        <w:jc w:val="both"/>
        <w:rPr>
          <w:rFonts w:cstheme="minorHAnsi"/>
        </w:rPr>
      </w:pPr>
      <w:r w:rsidRPr="00A138C9">
        <w:rPr>
          <w:rFonts w:cstheme="minorHAnsi"/>
        </w:rPr>
        <w:lastRenderedPageBreak/>
        <w:t>W ramach realizacji zamówienia Wykonawca opracuje/zaktualizuje kompleksową politykę zarządzania danymi uwzględniającą polityki ich niszczenia, plan backup, plany reagowania i odtwarzania danych.</w:t>
      </w:r>
    </w:p>
    <w:p w:rsidR="004105B8" w:rsidRPr="00A138C9" w:rsidRDefault="004105B8">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plan zarządzania podatnościami.</w:t>
      </w:r>
    </w:p>
    <w:p w:rsidR="00C5647C" w:rsidRPr="00A138C9" w:rsidRDefault="004105B8">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zarządzania zapisami zdarzeń / logów/ inspekcji.</w:t>
      </w:r>
    </w:p>
    <w:p w:rsidR="004105B8" w:rsidRPr="00A138C9" w:rsidRDefault="004105B8">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użytkowania dostępu do odczytu lub zapisu danych z zewnętrznych nośników danych.</w:t>
      </w:r>
    </w:p>
    <w:p w:rsidR="004105B8" w:rsidRPr="00A138C9" w:rsidRDefault="00B9254A">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kompleksową politykę reagowania na incydenty uwzględniającą procedury procesowania incydentów.</w:t>
      </w:r>
    </w:p>
    <w:p w:rsidR="00B9254A" w:rsidRPr="00A138C9" w:rsidRDefault="00B9254A">
      <w:pPr>
        <w:numPr>
          <w:ilvl w:val="0"/>
          <w:numId w:val="22"/>
        </w:numPr>
        <w:spacing w:after="120" w:line="276" w:lineRule="auto"/>
        <w:ind w:left="279" w:hanging="279"/>
        <w:contextualSpacing/>
        <w:jc w:val="both"/>
        <w:rPr>
          <w:rFonts w:cstheme="minorHAnsi"/>
        </w:rPr>
      </w:pPr>
      <w:r w:rsidRPr="00A138C9">
        <w:rPr>
          <w:rFonts w:cstheme="minorHAnsi"/>
        </w:rPr>
        <w:t xml:space="preserve">W ramach realizacji zamówienia Wykonawca opracuje/zaktualizuje plan zarządzania podatnościami uwzględniający </w:t>
      </w:r>
      <w:r w:rsidR="00A138C9" w:rsidRPr="00A138C9">
        <w:rPr>
          <w:rFonts w:cstheme="minorHAnsi"/>
        </w:rPr>
        <w:t xml:space="preserve">obowiązek </w:t>
      </w:r>
      <w:r w:rsidRPr="00A138C9">
        <w:rPr>
          <w:rFonts w:cstheme="minorHAnsi"/>
        </w:rPr>
        <w:t>dokumentowania ryzyka z nimi związanego.</w:t>
      </w:r>
    </w:p>
    <w:p w:rsidR="00B9254A" w:rsidRPr="00A138C9" w:rsidRDefault="00B9254A">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i ich aktualizacji w obszarze doświadczeń i wniosków z wykrytych i obsłużonych incydentów.</w:t>
      </w:r>
    </w:p>
    <w:p w:rsidR="00B9254A" w:rsidRPr="00A138C9" w:rsidRDefault="008232EF">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reagowania na incydenty uwzględniającą procedury procesowania incydentów wraz z obowiązkiem ich aktualizacji.</w:t>
      </w:r>
    </w:p>
    <w:p w:rsidR="008232EF" w:rsidRPr="00A138C9" w:rsidRDefault="008232EF">
      <w:pPr>
        <w:numPr>
          <w:ilvl w:val="0"/>
          <w:numId w:val="22"/>
        </w:numPr>
        <w:spacing w:after="120" w:line="276" w:lineRule="auto"/>
        <w:ind w:left="279" w:hanging="279"/>
        <w:contextualSpacing/>
        <w:jc w:val="both"/>
        <w:rPr>
          <w:rFonts w:cstheme="minorHAnsi"/>
        </w:rPr>
      </w:pPr>
      <w:r w:rsidRPr="00A138C9">
        <w:rPr>
          <w:rFonts w:cstheme="minorHAnsi"/>
        </w:rPr>
        <w:t>W ramach realizacji zamówienia Wykonawca opracuje/zaktualizuje politykę planów odtwarzania uwzględniając</w:t>
      </w:r>
      <w:r w:rsidR="00A138C9" w:rsidRPr="00A138C9">
        <w:rPr>
          <w:rFonts w:cstheme="minorHAnsi"/>
        </w:rPr>
        <w:t>ą</w:t>
      </w:r>
      <w:r w:rsidRPr="00A138C9">
        <w:rPr>
          <w:rFonts w:cstheme="minorHAnsi"/>
        </w:rPr>
        <w:t xml:space="preserve"> obowiązek ich aktualizacji w obszarze doświadczeń i wniosków z prowadzonych procesów odtwarzania.</w:t>
      </w:r>
    </w:p>
    <w:p w:rsidR="00DC1050" w:rsidRDefault="00DC1050" w:rsidP="00DC1050">
      <w:pPr>
        <w:spacing w:after="120" w:line="276" w:lineRule="auto"/>
        <w:contextualSpacing/>
        <w:jc w:val="both"/>
        <w:rPr>
          <w:rFonts w:cstheme="minorHAnsi"/>
        </w:rPr>
      </w:pPr>
    </w:p>
    <w:p w:rsidR="002D2D53" w:rsidRPr="006D3480" w:rsidRDefault="002D2D53" w:rsidP="002D2D53">
      <w:pPr>
        <w:spacing w:line="276" w:lineRule="auto"/>
        <w:contextualSpacing/>
        <w:jc w:val="both"/>
        <w:rPr>
          <w:rFonts w:cstheme="minorHAnsi"/>
        </w:rPr>
      </w:pPr>
      <w:r w:rsidRPr="006D3480">
        <w:rPr>
          <w:rFonts w:cstheme="minorHAnsi"/>
        </w:rPr>
        <w:t>Poszczególne etapy realizacji usługi.</w:t>
      </w:r>
    </w:p>
    <w:p w:rsidR="002D2D53" w:rsidRPr="006D3480" w:rsidRDefault="002D2D53" w:rsidP="002D2D53">
      <w:pPr>
        <w:spacing w:line="276" w:lineRule="auto"/>
        <w:contextualSpacing/>
        <w:jc w:val="both"/>
        <w:rPr>
          <w:rFonts w:cstheme="minorHAnsi"/>
          <w:b/>
        </w:rPr>
      </w:pPr>
    </w:p>
    <w:p w:rsidR="002D2D53" w:rsidRPr="00B65F27" w:rsidRDefault="002D2D53" w:rsidP="002D2D53">
      <w:pPr>
        <w:spacing w:line="276" w:lineRule="auto"/>
        <w:contextualSpacing/>
        <w:jc w:val="both"/>
        <w:rPr>
          <w:rFonts w:cstheme="minorHAnsi"/>
          <w:bCs/>
        </w:rPr>
      </w:pPr>
      <w:r w:rsidRPr="00B65F27">
        <w:rPr>
          <w:rFonts w:cstheme="minorHAnsi"/>
          <w:bCs/>
        </w:rPr>
        <w:t>Etap I. Audyt zerowy.</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Określenie stanu spełnienia wymagań prawnych nałożonych na organizację w zakresie ochrony informacji.</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 xml:space="preserve">Sprawdzenie spełnienia wymagań i zaleceń w ramach standardów </w:t>
      </w:r>
      <w:r w:rsidR="00A60074" w:rsidRPr="00A60074">
        <w:rPr>
          <w:rStyle w:val="Pogrubienie"/>
          <w:b w:val="0"/>
          <w:bCs w:val="0"/>
        </w:rPr>
        <w:t>PN-EN ISO/IEC 27001:2023</w:t>
      </w:r>
      <w:r w:rsidR="00A60074">
        <w:rPr>
          <w:rStyle w:val="Pogrubienie"/>
        </w:rPr>
        <w:t xml:space="preserve"> </w:t>
      </w:r>
      <w:r w:rsidRPr="00B65F27">
        <w:rPr>
          <w:rFonts w:cstheme="minorHAnsi"/>
          <w:bCs/>
        </w:rPr>
        <w:t>i</w:t>
      </w:r>
      <w:r w:rsidR="000337A0">
        <w:rPr>
          <w:rFonts w:cstheme="minorHAnsi"/>
          <w:bCs/>
        </w:rPr>
        <w:t> </w:t>
      </w:r>
      <w:r w:rsidRPr="00B65F27">
        <w:rPr>
          <w:rFonts w:cstheme="minorHAnsi"/>
          <w:bCs/>
        </w:rPr>
        <w:t>norm pokrewnych.</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Inwentaryzacja aktywów informacyjnych i ocena ryzyka.</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Ocena zabezpieczeń technicznych, organizacyjnych oraz fizycznych.</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Analiza dokumentacji Polityki Bezpieczeństwa Informacji.</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Analiza dokumentacji Polityki Bezpieczeństwa Danych Osobowych.</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Zestaw działań mających na celu określenie stanu faktycznego zabezpieczeń technicznych w systemie informatycznym:</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Ocena schematu sieci.</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połączeń.</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segmentów sieci.</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oceny środowiska informatycznego.</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Ocena sposobu identyfikowania i logowania użytkowników.</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zarządzania kontami użytkowników.</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lang w:eastAsia="zh-CN"/>
        </w:rPr>
      </w:pPr>
      <w:r w:rsidRPr="00B65F27">
        <w:rPr>
          <w:rFonts w:cstheme="minorHAnsi"/>
          <w:bCs/>
          <w:lang w:eastAsia="zh-CN"/>
        </w:rPr>
        <w:t>Analiza strony www i BIP pod kątem ochrony danych osobowych.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lang w:eastAsia="zh-CN"/>
        </w:rPr>
        <w:t xml:space="preserve">Analiza systemu backupów </w:t>
      </w:r>
      <w:r w:rsidRPr="00B65F27">
        <w:rPr>
          <w:rFonts w:cstheme="minorHAnsi"/>
          <w:bCs/>
          <w:color w:val="000000"/>
          <w:lang w:eastAsia="zh-CN"/>
        </w:rPr>
        <w:t>i archiwizacji danych.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miejsc redundancji w sieci i systemach informatycznych.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lastRenderedPageBreak/>
        <w:t>Analiza konfiguracji zabezpieczeń systemów operacyjnych na serwerach.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zabezpieczeń baz danych.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bezpieczeństwa aplikacji i serwerów WWW.</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konfiguracji urządzeń sieciowych: switche, routery, IDS, IPS, UTM, firewall.</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Ocena zabezpieczeń dostępu do sieci publicznej.</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podatności systemów operacyjnych za pomocą specjalistycznego oprogramowania.</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zabezpieczeń stacji roboczych.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ochrony danych na komputerach przenośnych.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zabezpieczeń nośników zewnętrznych.</w:t>
      </w:r>
    </w:p>
    <w:p w:rsidR="002D2D53" w:rsidRPr="00B65F27" w:rsidRDefault="002D2D53">
      <w:pPr>
        <w:numPr>
          <w:ilvl w:val="0"/>
          <w:numId w:val="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procedur zarządzania ciągłością działania.</w:t>
      </w:r>
    </w:p>
    <w:p w:rsidR="002D2D53" w:rsidRPr="00B65F27" w:rsidRDefault="002D2D53">
      <w:pPr>
        <w:numPr>
          <w:ilvl w:val="0"/>
          <w:numId w:val="8"/>
        </w:numPr>
        <w:spacing w:after="120" w:line="276" w:lineRule="auto"/>
        <w:ind w:left="279" w:hanging="279"/>
        <w:contextualSpacing/>
        <w:jc w:val="both"/>
        <w:rPr>
          <w:rFonts w:cstheme="minorHAnsi"/>
          <w:bCs/>
        </w:rPr>
      </w:pPr>
      <w:r w:rsidRPr="00B65F27">
        <w:rPr>
          <w:rFonts w:cstheme="minorHAnsi"/>
          <w:bCs/>
        </w:rPr>
        <w:t xml:space="preserve">Opracowanie raportu z audytu zerowego zawierającego analizę bezpieczeństwa i adekwatności zabezpieczeń stosowanych przez </w:t>
      </w:r>
      <w:r w:rsidR="0032269A">
        <w:rPr>
          <w:rFonts w:cstheme="minorHAnsi"/>
          <w:bCs/>
        </w:rPr>
        <w:t>Zamawiającego</w:t>
      </w:r>
      <w:r w:rsidRPr="00B65F27">
        <w:rPr>
          <w:rFonts w:cstheme="minorHAnsi"/>
          <w:bCs/>
        </w:rPr>
        <w:t xml:space="preserve"> w odniesieniu do sieci i systemów informatycznych oraz rodzaju danych w nich przetwarzanych, z uwzględnieniem obowiązujących przepisów prawa, zasad wiedzy technicznej, wymagań normy </w:t>
      </w:r>
      <w:r w:rsidR="00A60074" w:rsidRPr="00A60074">
        <w:rPr>
          <w:rStyle w:val="Pogrubienie"/>
          <w:b w:val="0"/>
          <w:bCs w:val="0"/>
        </w:rPr>
        <w:t>PN-EN ISO/IEC 27001:2023</w:t>
      </w:r>
      <w:r w:rsidR="00A60074">
        <w:rPr>
          <w:rStyle w:val="Pogrubienie"/>
        </w:rPr>
        <w:t xml:space="preserve"> </w:t>
      </w:r>
      <w:r w:rsidRPr="00B65F27">
        <w:rPr>
          <w:rFonts w:cstheme="minorHAnsi"/>
          <w:bCs/>
        </w:rPr>
        <w:t>i zaleceń norm pokrewnych.</w:t>
      </w:r>
    </w:p>
    <w:p w:rsidR="002D2D53" w:rsidRPr="00B65F27" w:rsidRDefault="002D2D53" w:rsidP="002D2D53">
      <w:pPr>
        <w:spacing w:line="276" w:lineRule="auto"/>
        <w:contextualSpacing/>
        <w:jc w:val="both"/>
        <w:rPr>
          <w:rFonts w:cstheme="minorHAnsi"/>
          <w:bCs/>
        </w:rPr>
      </w:pPr>
    </w:p>
    <w:p w:rsidR="002D2D53" w:rsidRPr="00B65F27" w:rsidRDefault="002D2D53" w:rsidP="002D2D53">
      <w:pPr>
        <w:spacing w:line="276" w:lineRule="auto"/>
        <w:contextualSpacing/>
        <w:jc w:val="both"/>
        <w:rPr>
          <w:rFonts w:cstheme="minorHAnsi"/>
          <w:bCs/>
        </w:rPr>
      </w:pPr>
      <w:r w:rsidRPr="00B65F27">
        <w:rPr>
          <w:rFonts w:cstheme="minorHAnsi"/>
          <w:bCs/>
        </w:rPr>
        <w:t>Etap II. Zastosowanie zabezpieczeń na podstawie zaleceń poaudytowych.</w:t>
      </w:r>
    </w:p>
    <w:p w:rsidR="002D2D53" w:rsidRPr="00B65F27" w:rsidRDefault="002D2D53">
      <w:pPr>
        <w:numPr>
          <w:ilvl w:val="0"/>
          <w:numId w:val="10"/>
        </w:numPr>
        <w:spacing w:after="120" w:line="276" w:lineRule="auto"/>
        <w:ind w:left="279" w:hanging="279"/>
        <w:contextualSpacing/>
        <w:jc w:val="both"/>
        <w:rPr>
          <w:rFonts w:cstheme="minorHAnsi"/>
          <w:bCs/>
        </w:rPr>
      </w:pPr>
      <w:r w:rsidRPr="00B65F27">
        <w:rPr>
          <w:rFonts w:cstheme="minorHAnsi"/>
          <w:bCs/>
        </w:rPr>
        <w:t>Konsultacje przy wdrożeniu zabezpieczeń w infrastrukturze systemu informatycznego;</w:t>
      </w:r>
    </w:p>
    <w:p w:rsidR="002D2D53" w:rsidRPr="00B65F27" w:rsidRDefault="002D2D53">
      <w:pPr>
        <w:numPr>
          <w:ilvl w:val="0"/>
          <w:numId w:val="10"/>
        </w:numPr>
        <w:spacing w:after="120" w:line="276" w:lineRule="auto"/>
        <w:ind w:left="279" w:hanging="279"/>
        <w:contextualSpacing/>
        <w:jc w:val="both"/>
        <w:rPr>
          <w:rFonts w:cstheme="minorHAnsi"/>
          <w:bCs/>
        </w:rPr>
      </w:pPr>
      <w:r w:rsidRPr="00B65F27">
        <w:rPr>
          <w:rFonts w:cstheme="minorHAnsi"/>
          <w:bCs/>
        </w:rPr>
        <w:t xml:space="preserve">Konsultacje przy wdrożeniu zabezpieczeń organizacyjnych – polityki bezpieczeństwa danych osobowych, zapisów w umowach z dostawcami itp. </w:t>
      </w:r>
    </w:p>
    <w:p w:rsidR="002D2D53" w:rsidRPr="00B65F27" w:rsidRDefault="002D2D53" w:rsidP="002D2D53">
      <w:pPr>
        <w:spacing w:line="276" w:lineRule="auto"/>
        <w:contextualSpacing/>
        <w:jc w:val="both"/>
        <w:rPr>
          <w:rFonts w:cstheme="minorHAnsi"/>
          <w:bCs/>
        </w:rPr>
      </w:pPr>
    </w:p>
    <w:p w:rsidR="002D2D53" w:rsidRPr="00B65F27" w:rsidRDefault="002D2D53" w:rsidP="002D2D53">
      <w:pPr>
        <w:spacing w:line="276" w:lineRule="auto"/>
        <w:contextualSpacing/>
        <w:jc w:val="both"/>
        <w:rPr>
          <w:rFonts w:cstheme="minorHAnsi"/>
          <w:bCs/>
        </w:rPr>
      </w:pPr>
      <w:r w:rsidRPr="00B65F27">
        <w:rPr>
          <w:rFonts w:cstheme="minorHAnsi"/>
          <w:bCs/>
        </w:rPr>
        <w:t>Etap III. Planowanie Systemu Zarządzania Bezpieczeństwem Informacji (SZBI).</w:t>
      </w:r>
    </w:p>
    <w:p w:rsidR="002D2D53" w:rsidRPr="00B65F27" w:rsidRDefault="002D2D53">
      <w:pPr>
        <w:numPr>
          <w:ilvl w:val="0"/>
          <w:numId w:val="11"/>
        </w:numPr>
        <w:spacing w:after="120" w:line="276" w:lineRule="auto"/>
        <w:ind w:left="279" w:hanging="279"/>
        <w:contextualSpacing/>
        <w:jc w:val="both"/>
        <w:rPr>
          <w:rFonts w:cstheme="minorHAnsi"/>
          <w:bCs/>
        </w:rPr>
      </w:pPr>
      <w:r w:rsidRPr="00B65F27">
        <w:rPr>
          <w:rFonts w:cstheme="minorHAnsi"/>
          <w:bCs/>
        </w:rPr>
        <w:t>Przeprowadzenie instruktażu dla kadry zarządzającej z zasad bezpieczeństwa informacji.</w:t>
      </w:r>
    </w:p>
    <w:p w:rsidR="002D2D53" w:rsidRPr="00B65F27" w:rsidRDefault="002D2D53">
      <w:pPr>
        <w:numPr>
          <w:ilvl w:val="0"/>
          <w:numId w:val="11"/>
        </w:numPr>
        <w:spacing w:after="120" w:line="276" w:lineRule="auto"/>
        <w:ind w:left="279" w:hanging="279"/>
        <w:contextualSpacing/>
        <w:jc w:val="both"/>
        <w:rPr>
          <w:rFonts w:cstheme="minorHAnsi"/>
          <w:bCs/>
        </w:rPr>
      </w:pPr>
      <w:r w:rsidRPr="00B65F27">
        <w:rPr>
          <w:rFonts w:cstheme="minorHAnsi"/>
          <w:bCs/>
        </w:rPr>
        <w:t>Zakres SZBI:</w:t>
      </w:r>
    </w:p>
    <w:p w:rsidR="002D2D53" w:rsidRPr="00B65F27" w:rsidRDefault="002D2D53">
      <w:pPr>
        <w:numPr>
          <w:ilvl w:val="0"/>
          <w:numId w:val="1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rodzaju działalności organizacji, jej lokalizacji, rodzajów aktywów i wykorzystywanych technologii;</w:t>
      </w:r>
    </w:p>
    <w:p w:rsidR="002D2D53" w:rsidRPr="00B65F27" w:rsidRDefault="002D2D53">
      <w:pPr>
        <w:numPr>
          <w:ilvl w:val="0"/>
          <w:numId w:val="1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zasięgu organizacji;</w:t>
      </w:r>
    </w:p>
    <w:p w:rsidR="002D2D53" w:rsidRPr="00B65F27" w:rsidRDefault="002D2D53">
      <w:pPr>
        <w:numPr>
          <w:ilvl w:val="0"/>
          <w:numId w:val="12"/>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badanie środowiska zewnętrznego, powiązań z innymi organizacjami, systemami oraz dostawcami.</w:t>
      </w:r>
    </w:p>
    <w:p w:rsidR="002D2D53" w:rsidRPr="00B65F27" w:rsidRDefault="002D2D53">
      <w:pPr>
        <w:numPr>
          <w:ilvl w:val="0"/>
          <w:numId w:val="11"/>
        </w:numPr>
        <w:spacing w:after="120" w:line="276" w:lineRule="auto"/>
        <w:ind w:left="279" w:hanging="279"/>
        <w:contextualSpacing/>
        <w:jc w:val="both"/>
        <w:rPr>
          <w:rFonts w:cstheme="minorHAnsi"/>
          <w:bCs/>
        </w:rPr>
      </w:pPr>
      <w:r w:rsidRPr="00B65F27">
        <w:rPr>
          <w:rFonts w:cstheme="minorHAnsi"/>
          <w:bCs/>
        </w:rPr>
        <w:t>Zdefiniowanie wymaganych polityk SZBI:</w:t>
      </w:r>
    </w:p>
    <w:p w:rsidR="002D2D53" w:rsidRPr="00B65F27" w:rsidRDefault="002D2D53">
      <w:pPr>
        <w:numPr>
          <w:ilvl w:val="0"/>
          <w:numId w:val="1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rodzaju działalności organizacji, jej lokalizacji, rodzajów aktywów i wykorzystywanych technologii;</w:t>
      </w:r>
    </w:p>
    <w:p w:rsidR="002D2D53" w:rsidRPr="00B65F27" w:rsidRDefault="002D2D53">
      <w:pPr>
        <w:numPr>
          <w:ilvl w:val="0"/>
          <w:numId w:val="1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wymagań prawnych oraz wymagań wynikających z umów;</w:t>
      </w:r>
    </w:p>
    <w:p w:rsidR="002D2D53" w:rsidRPr="00B65F27" w:rsidRDefault="002D2D53">
      <w:pPr>
        <w:numPr>
          <w:ilvl w:val="0"/>
          <w:numId w:val="13"/>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uwzględnienie sposobu ustalania celów oraz wyznaczania kierunków działań w ramach systemu.</w:t>
      </w:r>
    </w:p>
    <w:p w:rsidR="002D2D53" w:rsidRPr="00B65F27" w:rsidRDefault="002D2D53">
      <w:pPr>
        <w:numPr>
          <w:ilvl w:val="0"/>
          <w:numId w:val="11"/>
        </w:numPr>
        <w:spacing w:after="120" w:line="276" w:lineRule="auto"/>
        <w:ind w:left="279" w:hanging="279"/>
        <w:contextualSpacing/>
        <w:jc w:val="both"/>
        <w:rPr>
          <w:rFonts w:cstheme="minorHAnsi"/>
          <w:bCs/>
        </w:rPr>
      </w:pPr>
      <w:r w:rsidRPr="00B65F27">
        <w:rPr>
          <w:rFonts w:cstheme="minorHAnsi"/>
          <w:bCs/>
        </w:rPr>
        <w:t>Szacowanie ryzyka:</w:t>
      </w:r>
    </w:p>
    <w:p w:rsidR="002D2D53" w:rsidRPr="00B65F27" w:rsidRDefault="002D2D53">
      <w:pPr>
        <w:numPr>
          <w:ilvl w:val="0"/>
          <w:numId w:val="1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wybór metody szacowania ryzyka;</w:t>
      </w:r>
    </w:p>
    <w:p w:rsidR="002D2D53" w:rsidRPr="00B65F27" w:rsidRDefault="002D2D53">
      <w:pPr>
        <w:numPr>
          <w:ilvl w:val="0"/>
          <w:numId w:val="1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kryteriów akceptowalności ryzyk i identyfikacji akceptowalnych poziomów ryzyk;</w:t>
      </w:r>
    </w:p>
    <w:p w:rsidR="002D2D53" w:rsidRPr="00B65F27" w:rsidRDefault="002D2D53">
      <w:pPr>
        <w:numPr>
          <w:ilvl w:val="0"/>
          <w:numId w:val="14"/>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obszarów zabezpieczeń objętych analizą ryzyka.</w:t>
      </w:r>
    </w:p>
    <w:p w:rsidR="002D2D53" w:rsidRPr="00B65F27" w:rsidRDefault="002D2D53">
      <w:pPr>
        <w:numPr>
          <w:ilvl w:val="0"/>
          <w:numId w:val="11"/>
        </w:numPr>
        <w:spacing w:after="120" w:line="276" w:lineRule="auto"/>
        <w:ind w:left="279" w:hanging="279"/>
        <w:contextualSpacing/>
        <w:jc w:val="both"/>
        <w:rPr>
          <w:rFonts w:cstheme="minorHAnsi"/>
          <w:bCs/>
        </w:rPr>
      </w:pPr>
      <w:r w:rsidRPr="00B65F27">
        <w:rPr>
          <w:rFonts w:cstheme="minorHAnsi"/>
          <w:bCs/>
        </w:rPr>
        <w:t>Wybór celów zabezpieczeń:</w:t>
      </w:r>
    </w:p>
    <w:p w:rsidR="002D2D53" w:rsidRPr="000337A0" w:rsidRDefault="002D2D53">
      <w:pPr>
        <w:numPr>
          <w:ilvl w:val="0"/>
          <w:numId w:val="1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zdefiniowanie celów zabezpieczeń na podstawie listy zawartej </w:t>
      </w:r>
      <w:r w:rsidRPr="000337A0">
        <w:rPr>
          <w:rFonts w:cstheme="minorHAnsi"/>
          <w:bCs/>
          <w:color w:val="000000"/>
          <w:lang w:eastAsia="zh-CN"/>
        </w:rPr>
        <w:t xml:space="preserve">w załączniku A normy </w:t>
      </w:r>
      <w:r w:rsidR="00A60074" w:rsidRPr="000337A0">
        <w:rPr>
          <w:rStyle w:val="Pogrubienie"/>
          <w:b w:val="0"/>
          <w:bCs w:val="0"/>
        </w:rPr>
        <w:t>PN-EN ISO/IEC 27001:2023</w:t>
      </w:r>
      <w:r w:rsidRPr="000337A0">
        <w:rPr>
          <w:rFonts w:cstheme="minorHAnsi"/>
          <w:bCs/>
          <w:color w:val="000000"/>
          <w:lang w:eastAsia="zh-CN"/>
        </w:rPr>
        <w:t>;</w:t>
      </w:r>
    </w:p>
    <w:p w:rsidR="002D2D53" w:rsidRPr="00B65F27" w:rsidRDefault="002D2D53">
      <w:pPr>
        <w:numPr>
          <w:ilvl w:val="0"/>
          <w:numId w:val="1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własnych celów zabezpieczania i zabezpieczeń;</w:t>
      </w:r>
    </w:p>
    <w:p w:rsidR="002D2D53" w:rsidRPr="00B65F27" w:rsidRDefault="002D2D53">
      <w:pPr>
        <w:numPr>
          <w:ilvl w:val="0"/>
          <w:numId w:val="1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uwzględnienie wyników procesu szacowania ryzyka i określenie postępowania z ryzykiem; </w:t>
      </w:r>
    </w:p>
    <w:p w:rsidR="002D2D53" w:rsidRPr="00B65F27" w:rsidRDefault="002D2D53">
      <w:pPr>
        <w:numPr>
          <w:ilvl w:val="0"/>
          <w:numId w:val="15"/>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środków ochrony.</w:t>
      </w:r>
    </w:p>
    <w:p w:rsidR="002D2D53" w:rsidRPr="00B65F27" w:rsidRDefault="002D2D53" w:rsidP="002D2D53">
      <w:pPr>
        <w:spacing w:line="276" w:lineRule="auto"/>
        <w:contextualSpacing/>
        <w:jc w:val="both"/>
        <w:rPr>
          <w:rFonts w:cstheme="minorHAnsi"/>
          <w:bCs/>
        </w:rPr>
      </w:pPr>
      <w:r w:rsidRPr="00B65F27">
        <w:rPr>
          <w:rFonts w:cstheme="minorHAnsi"/>
          <w:bCs/>
        </w:rPr>
        <w:lastRenderedPageBreak/>
        <w:t>Etap IV. Inwentaryzacja i szacowanie ryzyka SZBI.</w:t>
      </w:r>
    </w:p>
    <w:p w:rsidR="002D2D53" w:rsidRPr="00B65F27" w:rsidRDefault="002D2D53">
      <w:pPr>
        <w:numPr>
          <w:ilvl w:val="0"/>
          <w:numId w:val="16"/>
        </w:numPr>
        <w:spacing w:after="120" w:line="276" w:lineRule="auto"/>
        <w:ind w:left="279" w:hanging="279"/>
        <w:contextualSpacing/>
        <w:jc w:val="both"/>
        <w:rPr>
          <w:rFonts w:cstheme="minorHAnsi"/>
          <w:bCs/>
        </w:rPr>
      </w:pPr>
      <w:r w:rsidRPr="00B65F27">
        <w:rPr>
          <w:rFonts w:cstheme="minorHAnsi"/>
          <w:bCs/>
        </w:rPr>
        <w:t>Przeprowadzenie instruktaży dla pracowników oraz kadry zarządzającej z metody inwentaryzacji i</w:t>
      </w:r>
      <w:r w:rsidR="000337A0">
        <w:rPr>
          <w:rFonts w:cstheme="minorHAnsi"/>
          <w:bCs/>
        </w:rPr>
        <w:t> </w:t>
      </w:r>
      <w:r w:rsidRPr="00B65F27">
        <w:rPr>
          <w:rFonts w:cstheme="minorHAnsi"/>
          <w:bCs/>
        </w:rPr>
        <w:t>klasyfikacji aktywów informacyjnych.</w:t>
      </w:r>
    </w:p>
    <w:p w:rsidR="002D2D53" w:rsidRPr="00B65F27" w:rsidRDefault="002D2D53">
      <w:pPr>
        <w:numPr>
          <w:ilvl w:val="0"/>
          <w:numId w:val="16"/>
        </w:numPr>
        <w:spacing w:after="120" w:line="276" w:lineRule="auto"/>
        <w:ind w:left="279" w:hanging="279"/>
        <w:contextualSpacing/>
        <w:jc w:val="both"/>
        <w:rPr>
          <w:rFonts w:cstheme="minorHAnsi"/>
          <w:bCs/>
        </w:rPr>
      </w:pPr>
      <w:r w:rsidRPr="00B65F27">
        <w:rPr>
          <w:rFonts w:cstheme="minorHAnsi"/>
          <w:bCs/>
        </w:rPr>
        <w:t>Wykonanie wraz z pracownikami inwentaryzacji i klasyfikacji aktywów informacyjnych.</w:t>
      </w:r>
    </w:p>
    <w:p w:rsidR="002D2D53" w:rsidRPr="00B65F27" w:rsidRDefault="002D2D53">
      <w:pPr>
        <w:numPr>
          <w:ilvl w:val="0"/>
          <w:numId w:val="16"/>
        </w:numPr>
        <w:spacing w:after="120" w:line="276" w:lineRule="auto"/>
        <w:ind w:left="279" w:hanging="279"/>
        <w:contextualSpacing/>
        <w:jc w:val="both"/>
        <w:rPr>
          <w:rFonts w:cstheme="minorHAnsi"/>
          <w:bCs/>
        </w:rPr>
      </w:pPr>
      <w:r w:rsidRPr="00B65F27">
        <w:rPr>
          <w:rFonts w:cstheme="minorHAnsi"/>
          <w:bCs/>
        </w:rPr>
        <w:t>Zdefiniowanie planu postępowania z ryzykiem:</w:t>
      </w:r>
    </w:p>
    <w:p w:rsidR="002D2D53" w:rsidRPr="00B65F27" w:rsidRDefault="002D2D53">
      <w:pPr>
        <w:numPr>
          <w:ilvl w:val="0"/>
          <w:numId w:val="1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przeprowadzenie instruktaży dla kadry zarządzającej z wybranej metody oceny ryzyka;</w:t>
      </w:r>
    </w:p>
    <w:p w:rsidR="002D2D53" w:rsidRPr="00B65F27" w:rsidRDefault="002D2D53">
      <w:pPr>
        <w:numPr>
          <w:ilvl w:val="0"/>
          <w:numId w:val="1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szacowanie i ocena ryzyka – zaktualizowanie wartości ryzyka wynikające z audytu zerowego;</w:t>
      </w:r>
    </w:p>
    <w:p w:rsidR="002D2D53" w:rsidRPr="00B65F27" w:rsidRDefault="002D2D53">
      <w:pPr>
        <w:numPr>
          <w:ilvl w:val="0"/>
          <w:numId w:val="1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zdefiniowanie planu postępowania z ryzykiem;</w:t>
      </w:r>
    </w:p>
    <w:p w:rsidR="002D2D53" w:rsidRPr="00B65F27" w:rsidRDefault="002D2D53">
      <w:pPr>
        <w:numPr>
          <w:ilvl w:val="0"/>
          <w:numId w:val="1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planu zarządzania zidentyfikowanymi i oszacowanymi ryzykami;</w:t>
      </w:r>
    </w:p>
    <w:p w:rsidR="002D2D53" w:rsidRPr="00B65F27" w:rsidRDefault="002D2D53">
      <w:pPr>
        <w:numPr>
          <w:ilvl w:val="0"/>
          <w:numId w:val="17"/>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zadań do realizacji, zdefiniowanie odpowiedzialności i ram czasowych.</w:t>
      </w:r>
    </w:p>
    <w:p w:rsidR="002D2D53" w:rsidRPr="00B65F27" w:rsidRDefault="002D2D53">
      <w:pPr>
        <w:numPr>
          <w:ilvl w:val="0"/>
          <w:numId w:val="16"/>
        </w:numPr>
        <w:spacing w:after="120" w:line="276" w:lineRule="auto"/>
        <w:ind w:left="279" w:hanging="279"/>
        <w:contextualSpacing/>
        <w:jc w:val="both"/>
        <w:rPr>
          <w:rFonts w:cstheme="minorHAnsi"/>
          <w:bCs/>
        </w:rPr>
      </w:pPr>
      <w:r w:rsidRPr="00B65F27">
        <w:rPr>
          <w:rFonts w:cstheme="minorHAnsi"/>
          <w:bCs/>
        </w:rPr>
        <w:t>Opracowanie raportu z oceny ryzyka.</w:t>
      </w:r>
    </w:p>
    <w:p w:rsidR="002D2D53" w:rsidRPr="00B65F27" w:rsidRDefault="002D2D53" w:rsidP="002D2D53">
      <w:pPr>
        <w:spacing w:line="276" w:lineRule="auto"/>
        <w:contextualSpacing/>
        <w:jc w:val="both"/>
        <w:rPr>
          <w:rFonts w:cstheme="minorHAnsi"/>
          <w:bCs/>
        </w:rPr>
      </w:pPr>
      <w:r w:rsidRPr="00B65F27">
        <w:rPr>
          <w:rFonts w:cstheme="minorHAnsi"/>
          <w:bCs/>
        </w:rPr>
        <w:t>Etap V. Opracowanie niezbędnej dokumentacji SZBI.</w:t>
      </w:r>
    </w:p>
    <w:p w:rsidR="002D2D53" w:rsidRPr="000C55DB" w:rsidRDefault="002D2D53">
      <w:pPr>
        <w:numPr>
          <w:ilvl w:val="0"/>
          <w:numId w:val="18"/>
        </w:numPr>
        <w:spacing w:after="120" w:line="276" w:lineRule="auto"/>
        <w:contextualSpacing/>
        <w:jc w:val="both"/>
        <w:rPr>
          <w:rFonts w:cstheme="minorHAnsi"/>
          <w:bCs/>
        </w:rPr>
      </w:pPr>
      <w:r w:rsidRPr="000C55DB">
        <w:rPr>
          <w:rFonts w:cstheme="minorHAnsi"/>
          <w:bCs/>
        </w:rPr>
        <w:t xml:space="preserve">Opracowanie wspólnie z pracownikami </w:t>
      </w:r>
      <w:r w:rsidR="000C55DB" w:rsidRPr="000C55DB">
        <w:rPr>
          <w:rFonts w:cstheme="minorHAnsi"/>
          <w:bCs/>
        </w:rPr>
        <w:t>Zamawiającego</w:t>
      </w:r>
      <w:r w:rsidRPr="000C55DB">
        <w:rPr>
          <w:rFonts w:cstheme="minorHAnsi"/>
          <w:bCs/>
        </w:rPr>
        <w:t xml:space="preserve"> wymaganych procedur i instrukcji:</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Polityki Bezpieczeństwa Informacji;</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Zarządzania Systemem Informatycznym;</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procedur i instrukcji wymaganych przez normę </w:t>
      </w:r>
      <w:r w:rsidR="00A60074" w:rsidRPr="00A60074">
        <w:rPr>
          <w:rStyle w:val="Pogrubienie"/>
          <w:b w:val="0"/>
          <w:bCs w:val="0"/>
        </w:rPr>
        <w:t>PN-EN ISO/IEC 27001:2023</w:t>
      </w:r>
      <w:r w:rsidRPr="00B65F27">
        <w:rPr>
          <w:rFonts w:cstheme="minorHAnsi"/>
          <w:bCs/>
          <w:color w:val="000000"/>
          <w:lang w:eastAsia="zh-CN"/>
        </w:rPr>
        <w:t>;</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 i instrukcji dopasowanych do specyfiki działalności organizacji;</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Instrukcji postępowania na wypadek wykrycia incydentu naruszenia bezpieczeństwa;</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audytu wewnętrznego;</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nadzoru nad dokumentacją;</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działań korygujących i zapobiegawczych;</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opracowanie procedury zachowania ciągłości działania;</w:t>
      </w:r>
    </w:p>
    <w:p w:rsidR="002D2D53" w:rsidRPr="00B65F27" w:rsidRDefault="002D2D53">
      <w:pPr>
        <w:numPr>
          <w:ilvl w:val="0"/>
          <w:numId w:val="19"/>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 xml:space="preserve">opracowanie wraz z </w:t>
      </w:r>
      <w:r w:rsidRPr="000C55DB">
        <w:rPr>
          <w:rFonts w:cstheme="minorHAnsi"/>
          <w:bCs/>
          <w:color w:val="000000"/>
          <w:lang w:eastAsia="zh-CN"/>
        </w:rPr>
        <w:t xml:space="preserve">pracownikami </w:t>
      </w:r>
      <w:r w:rsidR="000C55DB" w:rsidRPr="000C55DB">
        <w:rPr>
          <w:rFonts w:cstheme="minorHAnsi"/>
          <w:bCs/>
        </w:rPr>
        <w:t>Zamawiającego</w:t>
      </w:r>
      <w:r w:rsidRPr="000C55DB">
        <w:rPr>
          <w:rFonts w:cstheme="minorHAnsi"/>
          <w:bCs/>
          <w:color w:val="000000"/>
          <w:lang w:eastAsia="zh-CN"/>
        </w:rPr>
        <w:t xml:space="preserve"> planów ciągłości działania.</w:t>
      </w:r>
    </w:p>
    <w:p w:rsidR="002D2D53" w:rsidRPr="00B65F27" w:rsidRDefault="002D2D53">
      <w:pPr>
        <w:numPr>
          <w:ilvl w:val="0"/>
          <w:numId w:val="18"/>
        </w:numPr>
        <w:spacing w:after="120" w:line="276" w:lineRule="auto"/>
        <w:contextualSpacing/>
        <w:jc w:val="both"/>
        <w:rPr>
          <w:rFonts w:cstheme="minorHAnsi"/>
          <w:bCs/>
        </w:rPr>
      </w:pPr>
      <w:r w:rsidRPr="00B65F27">
        <w:rPr>
          <w:rFonts w:cstheme="minorHAnsi"/>
          <w:bCs/>
        </w:rPr>
        <w:t>Wykonanie projektu zabezpieczeń - opracowanie projektu zabezpieczeń i konsultacje przy wdrożeniu odpowiednio skutecznych zabezpieczeń zgodnych z celami zabezpieczeń.</w:t>
      </w:r>
    </w:p>
    <w:p w:rsidR="002D2D53" w:rsidRPr="00B65F27" w:rsidRDefault="002D2D53">
      <w:pPr>
        <w:numPr>
          <w:ilvl w:val="0"/>
          <w:numId w:val="18"/>
        </w:numPr>
        <w:spacing w:after="120" w:line="276" w:lineRule="auto"/>
        <w:contextualSpacing/>
        <w:jc w:val="both"/>
        <w:rPr>
          <w:rFonts w:cstheme="minorHAnsi"/>
          <w:bCs/>
        </w:rPr>
      </w:pPr>
      <w:r w:rsidRPr="00B65F27">
        <w:rPr>
          <w:rFonts w:cstheme="minorHAnsi"/>
          <w:bCs/>
        </w:rPr>
        <w:t>Opracowanie programu uświadamiania i szkolenia.</w:t>
      </w:r>
    </w:p>
    <w:p w:rsidR="002D2D53" w:rsidRPr="00B65F27" w:rsidRDefault="002D2D53">
      <w:pPr>
        <w:numPr>
          <w:ilvl w:val="0"/>
          <w:numId w:val="18"/>
        </w:numPr>
        <w:spacing w:after="120" w:line="276" w:lineRule="auto"/>
        <w:contextualSpacing/>
        <w:jc w:val="both"/>
        <w:rPr>
          <w:rFonts w:cstheme="minorHAnsi"/>
          <w:bCs/>
        </w:rPr>
      </w:pPr>
      <w:r w:rsidRPr="00B65F27">
        <w:rPr>
          <w:rFonts w:cstheme="minorHAnsi"/>
          <w:bCs/>
        </w:rPr>
        <w:t>Przeprowadzenie instruktaży dla pracowników z dokumentacji ochrony informacji.</w:t>
      </w:r>
    </w:p>
    <w:p w:rsidR="002D2D53" w:rsidRPr="00B65F27" w:rsidRDefault="002D2D53">
      <w:pPr>
        <w:numPr>
          <w:ilvl w:val="0"/>
          <w:numId w:val="18"/>
        </w:numPr>
        <w:spacing w:after="120" w:line="276" w:lineRule="auto"/>
        <w:contextualSpacing/>
        <w:jc w:val="both"/>
        <w:rPr>
          <w:rFonts w:cstheme="minorHAnsi"/>
          <w:bCs/>
        </w:rPr>
      </w:pPr>
      <w:r w:rsidRPr="00B65F27">
        <w:rPr>
          <w:rFonts w:cstheme="minorHAnsi"/>
          <w:bCs/>
        </w:rPr>
        <w:t>Przeprowadzenie instruktaży dla kadry zarządzającej z dokumentacji ochrony informacji.</w:t>
      </w:r>
    </w:p>
    <w:p w:rsidR="002D2D53" w:rsidRPr="00B65F27" w:rsidRDefault="002D2D53" w:rsidP="002D2D53">
      <w:pPr>
        <w:spacing w:line="276" w:lineRule="auto"/>
        <w:contextualSpacing/>
        <w:jc w:val="both"/>
        <w:rPr>
          <w:rFonts w:cstheme="minorHAnsi"/>
          <w:bCs/>
        </w:rPr>
      </w:pPr>
    </w:p>
    <w:p w:rsidR="002D2D53" w:rsidRPr="00B65F27" w:rsidRDefault="002D2D53" w:rsidP="002D2D53">
      <w:pPr>
        <w:spacing w:line="276" w:lineRule="auto"/>
        <w:contextualSpacing/>
        <w:jc w:val="both"/>
        <w:rPr>
          <w:rFonts w:cstheme="minorHAnsi"/>
          <w:bCs/>
        </w:rPr>
      </w:pPr>
      <w:r w:rsidRPr="00B65F27">
        <w:rPr>
          <w:rFonts w:cstheme="minorHAnsi"/>
          <w:bCs/>
        </w:rPr>
        <w:t>Etap VI. Weryfikacja i monitorowanie SZBI.</w:t>
      </w:r>
    </w:p>
    <w:p w:rsidR="002D2D53" w:rsidRPr="00B65F27" w:rsidRDefault="002D2D53">
      <w:pPr>
        <w:numPr>
          <w:ilvl w:val="0"/>
          <w:numId w:val="20"/>
        </w:numPr>
        <w:spacing w:after="120" w:line="276" w:lineRule="auto"/>
        <w:contextualSpacing/>
        <w:jc w:val="both"/>
        <w:rPr>
          <w:rFonts w:cstheme="minorHAnsi"/>
          <w:bCs/>
        </w:rPr>
      </w:pPr>
      <w:r w:rsidRPr="00B65F27">
        <w:rPr>
          <w:rFonts w:cstheme="minorHAnsi"/>
          <w:bCs/>
        </w:rPr>
        <w:t>Przeprowadzenie wraz z pracownikami organizacji audytu wewnętrznego.</w:t>
      </w:r>
    </w:p>
    <w:p w:rsidR="002D2D53" w:rsidRPr="00B65F27" w:rsidRDefault="002D2D53">
      <w:pPr>
        <w:numPr>
          <w:ilvl w:val="0"/>
          <w:numId w:val="20"/>
        </w:numPr>
        <w:spacing w:after="120" w:line="276" w:lineRule="auto"/>
        <w:contextualSpacing/>
        <w:jc w:val="both"/>
        <w:rPr>
          <w:rFonts w:cstheme="minorHAnsi"/>
          <w:bCs/>
        </w:rPr>
      </w:pPr>
      <w:r w:rsidRPr="00B65F27">
        <w:rPr>
          <w:rFonts w:cstheme="minorHAnsi"/>
          <w:bCs/>
        </w:rPr>
        <w:t>Opracowanie raportu z audytu wewnętrznego.</w:t>
      </w:r>
    </w:p>
    <w:p w:rsidR="002D2D53" w:rsidRPr="00B65F27" w:rsidRDefault="002D2D53">
      <w:pPr>
        <w:numPr>
          <w:ilvl w:val="0"/>
          <w:numId w:val="20"/>
        </w:numPr>
        <w:spacing w:after="120" w:line="276" w:lineRule="auto"/>
        <w:contextualSpacing/>
        <w:jc w:val="both"/>
        <w:rPr>
          <w:rFonts w:cstheme="minorHAnsi"/>
          <w:bCs/>
        </w:rPr>
      </w:pPr>
      <w:r w:rsidRPr="00B65F27">
        <w:rPr>
          <w:rFonts w:cstheme="minorHAnsi"/>
          <w:bCs/>
        </w:rPr>
        <w:t>Przeprowadzenie wraz z pracownikami organizacji przeglądu systemu SZBI:</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zagrożeń;</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podatności;</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i weryfikacja ryzyk;</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planu postępowania z ryzykiem;</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zabezpieczeń i celów zabezpieczeń;</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określenie zgodności zakresu SZBI;</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z politykami i celami zabezpieczeń;</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przegląd i ocena skuteczności zabezpieczeń;</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wykorzystywania procedur;</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zgodności obowiązków i uprawnień w ramach SZBI;</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analiza audytów bezpieczeństwa;</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lastRenderedPageBreak/>
        <w:t>weryfikacja dokumentacji i sposobu postępowania z incydentami;</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weryfikacja sugestii oraz informacji zwrotnych od zainteresowanych stron;</w:t>
      </w:r>
    </w:p>
    <w:p w:rsidR="002D2D53" w:rsidRPr="00B65F27" w:rsidRDefault="002D2D53">
      <w:pPr>
        <w:numPr>
          <w:ilvl w:val="0"/>
          <w:numId w:val="21"/>
        </w:numPr>
        <w:autoSpaceDE w:val="0"/>
        <w:autoSpaceDN w:val="0"/>
        <w:adjustRightInd w:val="0"/>
        <w:spacing w:after="120" w:line="276" w:lineRule="auto"/>
        <w:contextualSpacing/>
        <w:jc w:val="both"/>
        <w:rPr>
          <w:rFonts w:cstheme="minorHAnsi"/>
          <w:bCs/>
          <w:color w:val="000000"/>
          <w:lang w:eastAsia="zh-CN"/>
        </w:rPr>
      </w:pPr>
      <w:r w:rsidRPr="00B65F27">
        <w:rPr>
          <w:rFonts w:cstheme="minorHAnsi"/>
          <w:bCs/>
          <w:color w:val="000000"/>
          <w:lang w:eastAsia="zh-CN"/>
        </w:rPr>
        <w:t>sprawdzenie aktualności procedur ciągłości działania.</w:t>
      </w:r>
    </w:p>
    <w:p w:rsidR="00EC6166" w:rsidRPr="00EC6166" w:rsidRDefault="002D2D53">
      <w:pPr>
        <w:numPr>
          <w:ilvl w:val="0"/>
          <w:numId w:val="20"/>
        </w:numPr>
        <w:spacing w:after="120" w:line="276" w:lineRule="auto"/>
        <w:contextualSpacing/>
        <w:jc w:val="both"/>
        <w:rPr>
          <w:rFonts w:cstheme="minorHAnsi"/>
          <w:bCs/>
        </w:rPr>
      </w:pPr>
      <w:r w:rsidRPr="00EC6166">
        <w:rPr>
          <w:rFonts w:cstheme="minorHAnsi"/>
          <w:bCs/>
        </w:rPr>
        <w:t>Opracowanie raportu z przeglądu.</w:t>
      </w:r>
      <w:r w:rsidR="00EC6166" w:rsidRPr="00EC6166">
        <w:rPr>
          <w:rFonts w:cstheme="minorHAnsi"/>
          <w:bCs/>
        </w:rPr>
        <w:br w:type="page"/>
      </w:r>
    </w:p>
    <w:p w:rsidR="00F03844" w:rsidRDefault="002D2D53" w:rsidP="009472AB">
      <w:pPr>
        <w:pStyle w:val="Nagwek1"/>
        <w:numPr>
          <w:ilvl w:val="1"/>
          <w:numId w:val="1"/>
        </w:numPr>
        <w:spacing w:after="240" w:line="276" w:lineRule="auto"/>
      </w:pPr>
      <w:bookmarkStart w:id="8" w:name="_Toc199087736"/>
      <w:r w:rsidRPr="002D2D53">
        <w:lastRenderedPageBreak/>
        <w:t>Zakup usług przeprowadzenia audytu zgodności KRI</w:t>
      </w:r>
      <w:r>
        <w:t>.</w:t>
      </w:r>
      <w:bookmarkEnd w:id="8"/>
    </w:p>
    <w:p w:rsidR="008E5F83" w:rsidRDefault="008E5F83" w:rsidP="008E5F83">
      <w:pPr>
        <w:spacing w:after="0" w:line="276" w:lineRule="auto"/>
        <w:jc w:val="both"/>
      </w:pPr>
      <w:r>
        <w:t>Z</w:t>
      </w:r>
      <w:r w:rsidRPr="0019043E">
        <w:t xml:space="preserve">akres audytu systemu bezpieczeństwa informacji </w:t>
      </w:r>
      <w:r w:rsidR="00F425DD">
        <w:t>(zwany na potrzeby przedmiotowego post</w:t>
      </w:r>
      <w:r w:rsidR="00867F89">
        <w:t>ę</w:t>
      </w:r>
      <w:r w:rsidR="00F425DD">
        <w:t xml:space="preserve">powania audytem zgodności KRI, audytem KRI) </w:t>
      </w:r>
      <w:r w:rsidRPr="0019043E">
        <w:t xml:space="preserve">obejmie zgodność z kryteriami </w:t>
      </w:r>
      <w:r w:rsidRPr="00AB672B">
        <w:t>zawartymi w</w:t>
      </w:r>
      <w:r w:rsidR="00382F46">
        <w:t> </w:t>
      </w:r>
      <w:r w:rsidR="00F425DD">
        <w:t>R</w:t>
      </w:r>
      <w:r w:rsidRPr="00AB672B">
        <w:t>ozporządzeni</w:t>
      </w:r>
      <w:r w:rsidR="00F425DD">
        <w:t>u</w:t>
      </w:r>
      <w:r w:rsidRPr="0019043E">
        <w:t xml:space="preserve"> KRI </w:t>
      </w:r>
      <w:r>
        <w:t>oraz</w:t>
      </w:r>
      <w:r w:rsidRPr="0019043E">
        <w:t xml:space="preserve"> zgodność z wymaganiami normy </w:t>
      </w:r>
      <w:r w:rsidRPr="008E5F83">
        <w:rPr>
          <w:rStyle w:val="Pogrubienie"/>
          <w:b w:val="0"/>
          <w:bCs w:val="0"/>
        </w:rPr>
        <w:t>PN-EN ISO/IEC 27001:2023</w:t>
      </w:r>
      <w:r>
        <w:rPr>
          <w:rStyle w:val="Pogrubienie"/>
        </w:rPr>
        <w:t xml:space="preserve"> </w:t>
      </w:r>
      <w:r w:rsidRPr="0048694A">
        <w:t>dla Zamawiającego</w:t>
      </w:r>
      <w:r w:rsidR="00F425DD">
        <w:t xml:space="preserve"> i </w:t>
      </w:r>
      <w:r w:rsidR="002139DC">
        <w:t xml:space="preserve">dotyczyć będzie </w:t>
      </w:r>
      <w:r w:rsidR="005E0929">
        <w:t xml:space="preserve">istniejącej na czas przeprowadzenia audytu </w:t>
      </w:r>
      <w:r w:rsidR="002139DC">
        <w:t xml:space="preserve">dokumentacji systemu zarządzania bezpieczeństwem oraz </w:t>
      </w:r>
      <w:r w:rsidR="001944A2">
        <w:t xml:space="preserve">warunków technicznych </w:t>
      </w:r>
      <w:r w:rsidR="00D03FDF">
        <w:t xml:space="preserve">bezpieczeństwa informacji </w:t>
      </w:r>
      <w:r w:rsidR="00D6282C">
        <w:t>(BI) zgodnie z minimalnymi wymaganiami wykonania usługi określonymi poniżej.</w:t>
      </w:r>
    </w:p>
    <w:p w:rsidR="00D6282C" w:rsidRDefault="00D6282C" w:rsidP="00012B0B">
      <w:pPr>
        <w:spacing w:line="276" w:lineRule="auto"/>
      </w:pPr>
    </w:p>
    <w:p w:rsidR="00012B0B" w:rsidRDefault="00012B0B" w:rsidP="00012B0B">
      <w:pPr>
        <w:spacing w:line="276" w:lineRule="auto"/>
      </w:pPr>
      <w:r>
        <w:t>Wymagania minimalne wykonania usługi:</w:t>
      </w:r>
    </w:p>
    <w:p w:rsidR="00012B0B" w:rsidRDefault="00012B0B">
      <w:pPr>
        <w:pStyle w:val="Akapitzlist"/>
        <w:numPr>
          <w:ilvl w:val="0"/>
          <w:numId w:val="5"/>
        </w:numPr>
        <w:spacing w:line="276" w:lineRule="auto"/>
        <w:jc w:val="both"/>
      </w:pPr>
      <w:r>
        <w:t>Przedmiotem zamówienia jest p</w:t>
      </w:r>
      <w:r w:rsidRPr="00812C07">
        <w:t xml:space="preserve">rzeprowadzenie audytu dotyczącego spełnienia wymagań </w:t>
      </w:r>
      <w:r w:rsidR="00C963CA" w:rsidRPr="0019043E">
        <w:t xml:space="preserve">normy </w:t>
      </w:r>
      <w:r w:rsidR="00A60074" w:rsidRPr="00A60074">
        <w:rPr>
          <w:rStyle w:val="Pogrubienie"/>
          <w:b w:val="0"/>
          <w:bCs w:val="0"/>
        </w:rPr>
        <w:t>PN-EN ISO/IEC 27001:2023</w:t>
      </w:r>
      <w:r w:rsidR="00A60074">
        <w:rPr>
          <w:rStyle w:val="Pogrubienie"/>
        </w:rPr>
        <w:t xml:space="preserve"> </w:t>
      </w:r>
      <w:r w:rsidR="00C963CA">
        <w:t xml:space="preserve">oraz </w:t>
      </w:r>
      <w:r>
        <w:t>R</w:t>
      </w:r>
      <w:r w:rsidRPr="00812C07">
        <w:t xml:space="preserve">ozporządzenia </w:t>
      </w:r>
      <w:r>
        <w:t>R</w:t>
      </w:r>
      <w:r w:rsidRPr="00812C07">
        <w:t xml:space="preserve">ady </w:t>
      </w:r>
      <w:r>
        <w:t>M</w:t>
      </w:r>
      <w:r w:rsidRPr="00812C07">
        <w:t xml:space="preserve">inistrów z dnia </w:t>
      </w:r>
      <w:r w:rsidR="00356CC9">
        <w:t xml:space="preserve">21 maja 2024 r. </w:t>
      </w:r>
      <w:r w:rsidRPr="00812C07">
        <w:t>w</w:t>
      </w:r>
      <w:r w:rsidR="000337A0">
        <w:t> </w:t>
      </w:r>
      <w:r w:rsidRPr="00812C07">
        <w:t xml:space="preserve">sprawie </w:t>
      </w:r>
      <w:r>
        <w:t>K</w:t>
      </w:r>
      <w:r w:rsidRPr="00812C07">
        <w:t xml:space="preserve">rajowych </w:t>
      </w:r>
      <w:r>
        <w:t>R</w:t>
      </w:r>
      <w:r w:rsidRPr="00812C07">
        <w:t xml:space="preserve">am </w:t>
      </w:r>
      <w:r>
        <w:t>I</w:t>
      </w:r>
      <w:r w:rsidRPr="00812C07">
        <w:t>nteroperacyjności, minimalnych wymagań dla rejestrów publicznych i</w:t>
      </w:r>
      <w:r w:rsidR="000337A0">
        <w:t> </w:t>
      </w:r>
      <w:r w:rsidRPr="00812C07">
        <w:t>wymiany informacji w</w:t>
      </w:r>
      <w:r>
        <w:t> </w:t>
      </w:r>
      <w:r w:rsidRPr="00812C07">
        <w:t>postaci elektronicznej oraz minimalnych wymagań dla systemów teleinformatycznych (</w:t>
      </w:r>
      <w:r>
        <w:t>D</w:t>
      </w:r>
      <w:r w:rsidRPr="00812C07">
        <w:t xml:space="preserve">z. U. </w:t>
      </w:r>
      <w:r w:rsidR="00356CC9" w:rsidRPr="00356CC9">
        <w:t>2024 poz. 773</w:t>
      </w:r>
      <w:r w:rsidRPr="00812C07">
        <w:t>)</w:t>
      </w:r>
      <w:r>
        <w:t>, zwanym dalej „Rozporządzeniem KRI”.</w:t>
      </w:r>
    </w:p>
    <w:p w:rsidR="00012B0B" w:rsidRDefault="00012B0B">
      <w:pPr>
        <w:pStyle w:val="Akapitzlist"/>
        <w:numPr>
          <w:ilvl w:val="0"/>
          <w:numId w:val="5"/>
        </w:numPr>
        <w:spacing w:after="0" w:line="276" w:lineRule="auto"/>
        <w:jc w:val="both"/>
      </w:pPr>
      <w:r>
        <w:t xml:space="preserve">Audyt KRI musi być przeprowadzony przez osobę </w:t>
      </w:r>
      <w:r w:rsidRPr="007439FF">
        <w:t>posiadającą certyfikat uprawniający do przeprowadzenia audytu, o którym mowa w Rozporządzeniu Ministra Cyfryzacji z dnia 12 października 2018 r. w sprawie wykazu certyfikatów uprawniających do przeprowadzenia audytu</w:t>
      </w:r>
      <w:r>
        <w:t>.</w:t>
      </w:r>
    </w:p>
    <w:p w:rsidR="00012B0B" w:rsidRDefault="00012B0B">
      <w:pPr>
        <w:pStyle w:val="Akapitzlist"/>
        <w:numPr>
          <w:ilvl w:val="0"/>
          <w:numId w:val="5"/>
        </w:numPr>
        <w:spacing w:line="276" w:lineRule="auto"/>
        <w:jc w:val="both"/>
      </w:pPr>
      <w:r>
        <w:t>Określenie minimalnego zakresu audytowanych obszarów:</w:t>
      </w:r>
    </w:p>
    <w:p w:rsidR="00012B0B" w:rsidRDefault="00012B0B">
      <w:pPr>
        <w:pStyle w:val="Akapitzlist"/>
        <w:numPr>
          <w:ilvl w:val="1"/>
          <w:numId w:val="5"/>
        </w:numPr>
        <w:spacing w:line="276" w:lineRule="auto"/>
        <w:ind w:left="709" w:hanging="283"/>
        <w:jc w:val="both"/>
      </w:pPr>
      <w:r w:rsidRPr="00BA38A3">
        <w:t xml:space="preserve">świadczenie usług w formie elektronicznej w tym udostępnionej na platformie ePUAP, zgodnie z art. 16 ust. </w:t>
      </w:r>
      <w:r>
        <w:t>1</w:t>
      </w:r>
      <w:r w:rsidRPr="00BA38A3">
        <w:t xml:space="preserve">a </w:t>
      </w:r>
      <w:r w:rsidR="00356CC9">
        <w:t>u</w:t>
      </w:r>
      <w:r w:rsidRPr="00BA38A3">
        <w:t xml:space="preserve">stawy </w:t>
      </w:r>
      <w:r>
        <w:t>z dnia 17 lutego 2005 r. o informatyzacji działalności podmiotów realizujących zadania publiczne</w:t>
      </w:r>
      <w:r w:rsidR="00A00998">
        <w:t xml:space="preserve"> (Dz.U. </w:t>
      </w:r>
      <w:r w:rsidR="00A00998" w:rsidRPr="00A00998">
        <w:t>2024 poz. 307</w:t>
      </w:r>
      <w:r w:rsidR="00A00998">
        <w:t>)</w:t>
      </w:r>
      <w:r>
        <w:t>;</w:t>
      </w:r>
    </w:p>
    <w:p w:rsidR="00012B0B" w:rsidRDefault="00012B0B">
      <w:pPr>
        <w:pStyle w:val="Akapitzlist"/>
        <w:numPr>
          <w:ilvl w:val="1"/>
          <w:numId w:val="5"/>
        </w:numPr>
        <w:spacing w:line="276" w:lineRule="auto"/>
        <w:ind w:left="709" w:hanging="283"/>
        <w:jc w:val="both"/>
      </w:pPr>
      <w:r w:rsidRPr="00CF1290">
        <w:t xml:space="preserve">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w:t>
      </w:r>
      <w:r>
        <w:t>R</w:t>
      </w:r>
      <w:r w:rsidRPr="00CF1290">
        <w:t>ozporządzenia KRI</w:t>
      </w:r>
      <w:r>
        <w:t>;</w:t>
      </w:r>
    </w:p>
    <w:p w:rsidR="00012B0B" w:rsidRDefault="00012B0B">
      <w:pPr>
        <w:pStyle w:val="Akapitzlist"/>
        <w:numPr>
          <w:ilvl w:val="1"/>
          <w:numId w:val="5"/>
        </w:numPr>
        <w:spacing w:line="276" w:lineRule="auto"/>
        <w:ind w:left="709" w:hanging="283"/>
        <w:jc w:val="both"/>
      </w:pPr>
      <w:r w:rsidRPr="00CF1290">
        <w:t xml:space="preserve">poziom wspierania modelu usługowego w procesie świadczenia usług elektronicznych przez systemy teleinformatyczne podmiotu, zgodnie z §15 ust. 2 </w:t>
      </w:r>
      <w:r>
        <w:t>R</w:t>
      </w:r>
      <w:r w:rsidRPr="00CF1290">
        <w:t>ozporządzenia KRI;</w:t>
      </w:r>
    </w:p>
    <w:p w:rsidR="00012B0B" w:rsidRDefault="00012B0B">
      <w:pPr>
        <w:pStyle w:val="Akapitzlist"/>
        <w:numPr>
          <w:ilvl w:val="1"/>
          <w:numId w:val="5"/>
        </w:numPr>
        <w:spacing w:line="276" w:lineRule="auto"/>
        <w:ind w:left="709" w:hanging="283"/>
        <w:jc w:val="both"/>
      </w:pPr>
      <w:r w:rsidRPr="00CF1290">
        <w:t xml:space="preserve">poziom współpracy systemów teleinformatycznych z innymi systemami podmiotu publicznego lub systemami informatycznymi innych podmiotów publicznych w tym rejestrami referencyjnymi, zgodnie z §5 ust. 3 pkt 3 </w:t>
      </w:r>
      <w:r>
        <w:t>R</w:t>
      </w:r>
      <w:r w:rsidRPr="00CF1290">
        <w:t>ozporządzenia KRI;</w:t>
      </w:r>
    </w:p>
    <w:p w:rsidR="00012B0B" w:rsidRDefault="00012B0B">
      <w:pPr>
        <w:pStyle w:val="Akapitzlist"/>
        <w:numPr>
          <w:ilvl w:val="1"/>
          <w:numId w:val="5"/>
        </w:numPr>
        <w:spacing w:line="276" w:lineRule="auto"/>
        <w:ind w:left="709" w:hanging="283"/>
        <w:jc w:val="both"/>
      </w:pPr>
      <w:r w:rsidRPr="00CF1290">
        <w:t xml:space="preserve">sposób komunikacji z innymi systemami w tym wyposażenie w składniki sprzętowe lub oprogramowanie umożliwiające wymianę danych z innymi systemami telekomunikacyjnymi za pomocą protokołów komunikacyjnych i szyfrujących zapewniających BI, zgodnie z §16 ust. 1 </w:t>
      </w:r>
      <w:r>
        <w:t>R</w:t>
      </w:r>
      <w:r w:rsidRPr="00CF1290">
        <w:t>ozporządzenia KRI</w:t>
      </w:r>
      <w:r>
        <w:t>;</w:t>
      </w:r>
    </w:p>
    <w:p w:rsidR="00012B0B" w:rsidRDefault="00012B0B">
      <w:pPr>
        <w:pStyle w:val="Akapitzlist"/>
        <w:numPr>
          <w:ilvl w:val="1"/>
          <w:numId w:val="5"/>
        </w:numPr>
        <w:spacing w:line="276" w:lineRule="auto"/>
        <w:ind w:left="709" w:hanging="283"/>
        <w:jc w:val="both"/>
      </w:pPr>
      <w:r w:rsidRPr="00CF1290">
        <w:t>regulacje wewnętrzne opisujące sposób zarządzania dokumentacją, w tym zakres stosowania elektronicznego obiegu dokumentów, zgodnie z §</w:t>
      </w:r>
      <w:r w:rsidR="00A00998">
        <w:t>19</w:t>
      </w:r>
      <w:r w:rsidRPr="00CF1290">
        <w:t xml:space="preserve"> ust. 2 pkt 9 </w:t>
      </w:r>
      <w:r>
        <w:t>R</w:t>
      </w:r>
      <w:r w:rsidRPr="00CF1290">
        <w:t>ozporządzenia KRI</w:t>
      </w:r>
      <w:r>
        <w:t>;</w:t>
      </w:r>
    </w:p>
    <w:p w:rsidR="00012B0B" w:rsidRDefault="00012B0B">
      <w:pPr>
        <w:pStyle w:val="Akapitzlist"/>
        <w:numPr>
          <w:ilvl w:val="1"/>
          <w:numId w:val="5"/>
        </w:numPr>
        <w:spacing w:line="276" w:lineRule="auto"/>
        <w:ind w:left="709" w:hanging="283"/>
        <w:jc w:val="both"/>
      </w:pPr>
      <w:r w:rsidRPr="00576D46">
        <w:t xml:space="preserve">sposób kodowania znaków w dokumentach wysyłanych i odbieranych z systemów teleinformatycznych podmiotu, zgodnie z §17 ust. 1 </w:t>
      </w:r>
      <w:r>
        <w:t>R</w:t>
      </w:r>
      <w:r w:rsidRPr="00576D46">
        <w:t>ozporządzenia KRI;</w:t>
      </w:r>
    </w:p>
    <w:p w:rsidR="00012B0B" w:rsidRDefault="00012B0B">
      <w:pPr>
        <w:pStyle w:val="Akapitzlist"/>
        <w:numPr>
          <w:ilvl w:val="1"/>
          <w:numId w:val="5"/>
        </w:numPr>
        <w:spacing w:line="276" w:lineRule="auto"/>
        <w:ind w:left="709" w:hanging="283"/>
        <w:jc w:val="both"/>
      </w:pPr>
      <w:r w:rsidRPr="00576D46">
        <w:t>sposób udostępniania zasobów informatycznych z systemów teleinformatycznych, zgodnie z</w:t>
      </w:r>
      <w:r w:rsidR="000337A0">
        <w:t> </w:t>
      </w:r>
      <w:r w:rsidRPr="00576D46">
        <w:t xml:space="preserve">§18 ust. 1 </w:t>
      </w:r>
      <w:r>
        <w:t>R</w:t>
      </w:r>
      <w:r w:rsidRPr="00576D46">
        <w:t>ozporządzenia KRI;</w:t>
      </w:r>
    </w:p>
    <w:p w:rsidR="00012B0B" w:rsidRDefault="00012B0B">
      <w:pPr>
        <w:pStyle w:val="Akapitzlist"/>
        <w:numPr>
          <w:ilvl w:val="1"/>
          <w:numId w:val="5"/>
        </w:numPr>
        <w:spacing w:line="276" w:lineRule="auto"/>
        <w:ind w:left="709" w:hanging="283"/>
        <w:jc w:val="both"/>
      </w:pPr>
      <w:r w:rsidRPr="00576D46">
        <w:t xml:space="preserve">sposób przyjmowania dokumentów elektronicznych przez systemy teleinformatyczne, zgodnie z §18 ust. 2 </w:t>
      </w:r>
      <w:r>
        <w:t>R</w:t>
      </w:r>
      <w:r w:rsidRPr="00576D46">
        <w:t>ozporządzenia KRI</w:t>
      </w:r>
      <w:r>
        <w:t>;</w:t>
      </w:r>
    </w:p>
    <w:p w:rsidR="00012B0B" w:rsidRDefault="00012B0B">
      <w:pPr>
        <w:pStyle w:val="Akapitzlist"/>
        <w:numPr>
          <w:ilvl w:val="1"/>
          <w:numId w:val="5"/>
        </w:numPr>
        <w:spacing w:line="276" w:lineRule="auto"/>
        <w:ind w:left="709" w:hanging="283"/>
        <w:jc w:val="both"/>
      </w:pPr>
      <w:r w:rsidRPr="002D5E7D">
        <w:lastRenderedPageBreak/>
        <w:t>dokumentacja SZBI, w tym Polityka BI oraz inne dokumenty stanowiące SZBI, Dokumentacja przeglądów SZBI, szacowania ryzyka, audytów, incydentów naruszenia BI, zgodnie z §</w:t>
      </w:r>
      <w:r w:rsidR="00A00998">
        <w:t>19</w:t>
      </w:r>
      <w:r w:rsidRPr="002D5E7D">
        <w:t xml:space="preserve"> ust. 1 </w:t>
      </w:r>
      <w:r>
        <w:t>R</w:t>
      </w:r>
      <w:r w:rsidRPr="002D5E7D">
        <w:t>ozporządzenia KRI;</w:t>
      </w:r>
    </w:p>
    <w:p w:rsidR="00012B0B" w:rsidRPr="002D5E7D" w:rsidRDefault="00012B0B">
      <w:pPr>
        <w:pStyle w:val="Akapitzlist"/>
        <w:numPr>
          <w:ilvl w:val="1"/>
          <w:numId w:val="5"/>
        </w:numPr>
        <w:spacing w:line="276" w:lineRule="auto"/>
        <w:ind w:left="709" w:hanging="283"/>
        <w:jc w:val="both"/>
      </w:pPr>
      <w:r w:rsidRPr="002D5E7D">
        <w:t>działania związane z aktualizacją regulacji wewnętrznych w zakresie zmieniającego się otoczenia będące konsekwencją wyników szacowania ryzyka, wniosków z przeglądów SZBI, zaleceń poaudytowych, wniosków z analizy incydentów naruszenia BI, zgodnie z §</w:t>
      </w:r>
      <w:r w:rsidR="00A00998">
        <w:t>19</w:t>
      </w:r>
      <w:r w:rsidRPr="002D5E7D">
        <w:t xml:space="preserve"> ust. 2 pkt 1 </w:t>
      </w:r>
      <w:r>
        <w:t>R</w:t>
      </w:r>
      <w:r w:rsidRPr="002D5E7D">
        <w:t xml:space="preserve">ozporządzenia KRI; </w:t>
      </w:r>
    </w:p>
    <w:p w:rsidR="00012B0B" w:rsidRDefault="00012B0B">
      <w:pPr>
        <w:pStyle w:val="Akapitzlist"/>
        <w:numPr>
          <w:ilvl w:val="1"/>
          <w:numId w:val="5"/>
        </w:numPr>
        <w:spacing w:line="276" w:lineRule="auto"/>
        <w:ind w:left="709" w:hanging="283"/>
        <w:jc w:val="both"/>
      </w:pPr>
      <w:r w:rsidRPr="002D5E7D">
        <w:t>stopień zaangażowania kierownictwa podmiotu w proces ustanawiania i funkcjonowania SZBI oraz zarządzania BI (przeglądy SZBI, szacowanie i obsługa ryzyka BI, egzekwowanie działań związanych z BI), zgodnie z §</w:t>
      </w:r>
      <w:r w:rsidR="00A00998">
        <w:t>19</w:t>
      </w:r>
      <w:r w:rsidRPr="002D5E7D">
        <w:t xml:space="preserve"> ust. 2 </w:t>
      </w:r>
      <w:r>
        <w:t>R</w:t>
      </w:r>
      <w:r w:rsidRPr="002D5E7D">
        <w:t>ozporządzenia KRI</w:t>
      </w:r>
      <w:r>
        <w:t>;</w:t>
      </w:r>
    </w:p>
    <w:p w:rsidR="00012B0B" w:rsidRDefault="00012B0B">
      <w:pPr>
        <w:pStyle w:val="Akapitzlist"/>
        <w:numPr>
          <w:ilvl w:val="1"/>
          <w:numId w:val="5"/>
        </w:numPr>
        <w:spacing w:line="276" w:lineRule="auto"/>
        <w:ind w:left="709" w:hanging="283"/>
        <w:jc w:val="both"/>
      </w:pPr>
      <w:r w:rsidRPr="002D5E7D">
        <w:t>regulacje wewnętrzne opisujące sposób zarządzania ryzykiem BI w podmiocie;</w:t>
      </w:r>
    </w:p>
    <w:p w:rsidR="00012B0B" w:rsidRDefault="00012B0B">
      <w:pPr>
        <w:pStyle w:val="Akapitzlist"/>
        <w:numPr>
          <w:ilvl w:val="1"/>
          <w:numId w:val="5"/>
        </w:numPr>
        <w:spacing w:line="276" w:lineRule="auto"/>
        <w:ind w:left="709" w:hanging="283"/>
        <w:jc w:val="both"/>
      </w:pPr>
      <w:r w:rsidRPr="002D5E7D">
        <w:t>dokumentacja z przeprowadzania okresowej analizy ryzyka utraty integralności, poufności lub dostępności informacji, w tym rejestr ryzyk, zawierający informacje o</w:t>
      </w:r>
      <w:r>
        <w:t> </w:t>
      </w:r>
      <w:r w:rsidRPr="002D5E7D">
        <w:t>zidentyfikowanych ryzykach, ich poziomie, plan postępowania z ryzykiem, zgodnie z §</w:t>
      </w:r>
      <w:r w:rsidR="00A00998">
        <w:t>19</w:t>
      </w:r>
      <w:r w:rsidRPr="002D5E7D">
        <w:t xml:space="preserve"> ust. 2 pkt 3 </w:t>
      </w:r>
      <w:r>
        <w:t>Ro</w:t>
      </w:r>
      <w:r w:rsidRPr="002D5E7D">
        <w:t>zporządzenia KRI;</w:t>
      </w:r>
    </w:p>
    <w:p w:rsidR="00012B0B" w:rsidRDefault="00012B0B">
      <w:pPr>
        <w:pStyle w:val="Akapitzlist"/>
        <w:numPr>
          <w:ilvl w:val="1"/>
          <w:numId w:val="5"/>
        </w:numPr>
        <w:spacing w:line="276" w:lineRule="auto"/>
        <w:ind w:left="709" w:hanging="283"/>
        <w:jc w:val="both"/>
      </w:pPr>
      <w:r w:rsidRPr="002D5E7D">
        <w:t>działania minimalizujące ryzyko zgodnie z planem postępowania z ryzykiem stosownie do szacowania ryzyka</w:t>
      </w:r>
      <w:r>
        <w:t>;</w:t>
      </w:r>
    </w:p>
    <w:p w:rsidR="00012B0B" w:rsidRDefault="00012B0B">
      <w:pPr>
        <w:pStyle w:val="Akapitzlist"/>
        <w:numPr>
          <w:ilvl w:val="1"/>
          <w:numId w:val="5"/>
        </w:numPr>
        <w:spacing w:line="276" w:lineRule="auto"/>
        <w:ind w:left="709" w:hanging="283"/>
        <w:jc w:val="both"/>
      </w:pPr>
      <w:r>
        <w:t>r</w:t>
      </w:r>
      <w:r w:rsidRPr="00C375A9">
        <w:t>egulacje wewnętrzne opisujące sposób zarządzania sprzętem informatycznym i</w:t>
      </w:r>
      <w:r>
        <w:t> </w:t>
      </w:r>
      <w:r w:rsidRPr="00C375A9">
        <w:t>oprogramowaniem (w tym licencjami na oprogramowanie) oraz funkcjonowania rejestru zasobów teleinformatycznych;</w:t>
      </w:r>
    </w:p>
    <w:p w:rsidR="00012B0B" w:rsidRDefault="00012B0B">
      <w:pPr>
        <w:pStyle w:val="Akapitzlist"/>
        <w:numPr>
          <w:ilvl w:val="1"/>
          <w:numId w:val="5"/>
        </w:numPr>
        <w:spacing w:line="276" w:lineRule="auto"/>
        <w:ind w:left="709" w:hanging="283"/>
        <w:jc w:val="both"/>
      </w:pPr>
      <w:r w:rsidRPr="00C375A9">
        <w:t>rejestr zasobów teleinformatycznych zawierający informacje o wszystkich zidentyfikowanych aktywach informatycznych, w tym: szczegółowe dane o urządzeniach technicznych, oprogramowaniu i środkach komunikacji, ich rodzaju, parametrach, aktualnej konfiguracji i</w:t>
      </w:r>
      <w:r w:rsidR="000337A0">
        <w:t> </w:t>
      </w:r>
      <w:r w:rsidRPr="00C375A9">
        <w:t>relacjach między elementami konfiguracji oraz użytkowniku, zgodnie z §</w:t>
      </w:r>
      <w:r w:rsidR="00A00998">
        <w:t>19</w:t>
      </w:r>
      <w:r w:rsidRPr="00C375A9">
        <w:t xml:space="preserve"> ust. 2 pkt 2 </w:t>
      </w:r>
      <w:r>
        <w:t>R</w:t>
      </w:r>
      <w:r w:rsidRPr="00C375A9">
        <w:t>ozporządzenia KRI;</w:t>
      </w:r>
    </w:p>
    <w:p w:rsidR="00012B0B" w:rsidRDefault="00012B0B">
      <w:pPr>
        <w:pStyle w:val="Akapitzlist"/>
        <w:numPr>
          <w:ilvl w:val="1"/>
          <w:numId w:val="5"/>
        </w:numPr>
        <w:spacing w:line="276" w:lineRule="auto"/>
        <w:ind w:left="709" w:hanging="283"/>
        <w:jc w:val="both"/>
      </w:pPr>
      <w:r w:rsidRPr="00C375A9">
        <w:t>sposób aktualizacji rejestru zasobów teleinformatycznych</w:t>
      </w:r>
      <w:r>
        <w:t>;</w:t>
      </w:r>
    </w:p>
    <w:p w:rsidR="00012B0B" w:rsidRDefault="00012B0B">
      <w:pPr>
        <w:pStyle w:val="Akapitzlist"/>
        <w:numPr>
          <w:ilvl w:val="1"/>
          <w:numId w:val="5"/>
        </w:numPr>
        <w:spacing w:line="276" w:lineRule="auto"/>
        <w:ind w:left="709" w:hanging="283"/>
        <w:jc w:val="both"/>
      </w:pPr>
      <w:r w:rsidRPr="00C375A9">
        <w:t>regulacje wewnętrzne opisujące zarządzania uprawnieniami użytkowników do pracy w</w:t>
      </w:r>
      <w:r>
        <w:t> </w:t>
      </w:r>
      <w:r w:rsidRPr="00C375A9">
        <w:t>systemach teleinformatycznych, w tym do przetwarzania danych osobowych;</w:t>
      </w:r>
    </w:p>
    <w:p w:rsidR="00012B0B" w:rsidRDefault="00012B0B">
      <w:pPr>
        <w:pStyle w:val="Akapitzlist"/>
        <w:numPr>
          <w:ilvl w:val="1"/>
          <w:numId w:val="5"/>
        </w:numPr>
        <w:spacing w:line="276" w:lineRule="auto"/>
        <w:ind w:left="709" w:hanging="283"/>
        <w:jc w:val="both"/>
      </w:pPr>
      <w:r w:rsidRPr="00C375A9">
        <w:t>adekwatność poziomu uprawnień do pracy w systemach teleinformatycznych do zakresu czynności i posiadanych upoważnień dostępu do informacji, w tym upoważnień do przetwarzania danych osobowych (rejestr wydanych upoważnień), zgodnie z §</w:t>
      </w:r>
      <w:r w:rsidR="00A00998">
        <w:t>19</w:t>
      </w:r>
      <w:r w:rsidRPr="00C375A9">
        <w:t xml:space="preserve"> ust. 2 pkt 4 </w:t>
      </w:r>
      <w:r>
        <w:t>R</w:t>
      </w:r>
      <w:r w:rsidRPr="00C375A9">
        <w:t xml:space="preserve">ozporządzenia KRI; </w:t>
      </w:r>
    </w:p>
    <w:p w:rsidR="00012B0B" w:rsidRDefault="00012B0B">
      <w:pPr>
        <w:pStyle w:val="Akapitzlist"/>
        <w:numPr>
          <w:ilvl w:val="1"/>
          <w:numId w:val="5"/>
        </w:numPr>
        <w:spacing w:line="276" w:lineRule="auto"/>
        <w:ind w:left="709" w:hanging="283"/>
        <w:jc w:val="both"/>
      </w:pPr>
      <w:r w:rsidRPr="00C375A9">
        <w:t>działania w zakresie monitoringu i kontroli dostępu do zasobów teleinformatycznych, w</w:t>
      </w:r>
      <w:r>
        <w:t> </w:t>
      </w:r>
      <w:r w:rsidRPr="00C375A9">
        <w:t>tym przeglądy w celu wykrywania nieuprawnionego dostępu, nadmiernych uprawnień, konfliktu interesów czy nadzorowania samego siebie itp.;</w:t>
      </w:r>
    </w:p>
    <w:p w:rsidR="00012B0B" w:rsidRDefault="00012B0B">
      <w:pPr>
        <w:pStyle w:val="Akapitzlist"/>
        <w:numPr>
          <w:ilvl w:val="1"/>
          <w:numId w:val="5"/>
        </w:numPr>
        <w:spacing w:line="276" w:lineRule="auto"/>
        <w:ind w:left="709" w:hanging="283"/>
        <w:jc w:val="both"/>
      </w:pPr>
      <w:r w:rsidRPr="00C375A9">
        <w:t>sposób i szybkość odbierania uprawnień byłym pracownikom w systemach informatycznych, zgodnie z §</w:t>
      </w:r>
      <w:r w:rsidR="00A00998">
        <w:t>19</w:t>
      </w:r>
      <w:r w:rsidRPr="00C375A9">
        <w:t xml:space="preserve"> ust. 2 pkt 5 </w:t>
      </w:r>
      <w:r>
        <w:t>R</w:t>
      </w:r>
      <w:r w:rsidRPr="00C375A9">
        <w:t>ozporządzenia KRI</w:t>
      </w:r>
      <w:r>
        <w:t>;</w:t>
      </w:r>
    </w:p>
    <w:p w:rsidR="00012B0B" w:rsidRDefault="00012B0B">
      <w:pPr>
        <w:pStyle w:val="Akapitzlist"/>
        <w:numPr>
          <w:ilvl w:val="1"/>
          <w:numId w:val="5"/>
        </w:numPr>
        <w:spacing w:line="276" w:lineRule="auto"/>
        <w:ind w:left="709" w:hanging="283"/>
        <w:jc w:val="both"/>
      </w:pPr>
      <w:r w:rsidRPr="00C375A9">
        <w:t>regulacje wewnętrzne dotyczące przeprowadzania szkoleń użytkowników zaangażowanych w procesie przetwarzania informacji w systemach teleinformatycznych;</w:t>
      </w:r>
    </w:p>
    <w:p w:rsidR="00012B0B" w:rsidRDefault="00012B0B">
      <w:pPr>
        <w:pStyle w:val="Akapitzlist"/>
        <w:numPr>
          <w:ilvl w:val="1"/>
          <w:numId w:val="5"/>
        </w:numPr>
        <w:spacing w:line="276" w:lineRule="auto"/>
        <w:ind w:left="709" w:hanging="283"/>
        <w:jc w:val="both"/>
      </w:pPr>
      <w:r w:rsidRPr="00C375A9">
        <w:t>dokumentacja z przeprowadzonych szkoleń pod kątem zakresu tematycznego, w tym: aktualności informacji o zagrożeniach, skutkach i zabezpieczeniach, wskaźnik liczby osób przeszkolonych w stosunku do wszystkich osób uczestniczących w procesie przetwarzania informacji, a także cykliczności szkoleń, zgodnie z §</w:t>
      </w:r>
      <w:r w:rsidR="00A00998">
        <w:t>19</w:t>
      </w:r>
      <w:r w:rsidRPr="00C375A9">
        <w:t xml:space="preserve"> ust. 2 pkt 6 </w:t>
      </w:r>
      <w:r>
        <w:t>R</w:t>
      </w:r>
      <w:r w:rsidRPr="00C375A9">
        <w:t>ozporządzenia KRI</w:t>
      </w:r>
      <w:r>
        <w:t>;</w:t>
      </w:r>
    </w:p>
    <w:p w:rsidR="00012B0B" w:rsidRDefault="00012B0B">
      <w:pPr>
        <w:pStyle w:val="Akapitzlist"/>
        <w:numPr>
          <w:ilvl w:val="1"/>
          <w:numId w:val="5"/>
        </w:numPr>
        <w:spacing w:line="276" w:lineRule="auto"/>
        <w:ind w:left="709" w:hanging="283"/>
        <w:jc w:val="both"/>
      </w:pPr>
      <w:r w:rsidRPr="00C375A9">
        <w:lastRenderedPageBreak/>
        <w:t>regulacje wewnętrzne określające zasady bezpiecznej pracy użytkowników przy wykorzystaniu urządzeń przenośnych i pracy na odległość, zgodne z §</w:t>
      </w:r>
      <w:r w:rsidR="00A00998">
        <w:t>19</w:t>
      </w:r>
      <w:r w:rsidRPr="00C375A9">
        <w:t xml:space="preserve"> ust. 2 pkt 8 </w:t>
      </w:r>
      <w:r>
        <w:t>R</w:t>
      </w:r>
      <w:r w:rsidRPr="00C375A9">
        <w:t>ozporządzenia KRI;</w:t>
      </w:r>
    </w:p>
    <w:p w:rsidR="00012B0B" w:rsidRDefault="00012B0B">
      <w:pPr>
        <w:pStyle w:val="Akapitzlist"/>
        <w:numPr>
          <w:ilvl w:val="1"/>
          <w:numId w:val="5"/>
        </w:numPr>
        <w:spacing w:line="276" w:lineRule="auto"/>
        <w:ind w:left="709" w:hanging="283"/>
        <w:jc w:val="both"/>
      </w:pPr>
      <w:r w:rsidRPr="00C375A9">
        <w:t>działania w zakresie stosowania zasad bezpiecznej pracy użytkowników przy wykorzystaniu urządzeń przenośnych i pracy na odległość, w tym stosowania zabezpieczeń i procedur bezpieczeństwa przez użytkowników urządzeń przenośnych i pracy na odległość</w:t>
      </w:r>
      <w:r>
        <w:t>;</w:t>
      </w:r>
    </w:p>
    <w:p w:rsidR="00012B0B" w:rsidRDefault="00012B0B">
      <w:pPr>
        <w:pStyle w:val="Akapitzlist"/>
        <w:numPr>
          <w:ilvl w:val="1"/>
          <w:numId w:val="5"/>
        </w:numPr>
        <w:spacing w:line="276" w:lineRule="auto"/>
        <w:ind w:left="709" w:hanging="425"/>
        <w:jc w:val="both"/>
      </w:pPr>
      <w:r w:rsidRPr="00C375A9">
        <w:t>umowy serwisowe oraz umowy dotyczące rozwoju systemów teleinformatycznych w</w:t>
      </w:r>
      <w:r>
        <w:t> </w:t>
      </w:r>
      <w:r w:rsidRPr="00C375A9">
        <w:t>zakresie zapisów gwarantujących odpowiedni poziom BI, zgodne z §</w:t>
      </w:r>
      <w:r w:rsidR="00A00998">
        <w:t>19</w:t>
      </w:r>
      <w:r w:rsidRPr="00C375A9">
        <w:t xml:space="preserve"> ust. 2 pkt 1 Rozporządzenia KRI</w:t>
      </w:r>
      <w:r>
        <w:t>;</w:t>
      </w:r>
    </w:p>
    <w:p w:rsidR="00012B0B" w:rsidRDefault="00012B0B">
      <w:pPr>
        <w:pStyle w:val="Akapitzlist"/>
        <w:numPr>
          <w:ilvl w:val="1"/>
          <w:numId w:val="5"/>
        </w:numPr>
        <w:spacing w:line="276" w:lineRule="auto"/>
        <w:ind w:left="709" w:hanging="425"/>
        <w:jc w:val="both"/>
      </w:pPr>
      <w:r w:rsidRPr="00C375A9">
        <w:t>regulacje wewnętrzne, w których określono zasady zgłaszania i postępowania z</w:t>
      </w:r>
      <w:r>
        <w:t> </w:t>
      </w:r>
      <w:r w:rsidRPr="00C375A9">
        <w:t>incydentami naruszenia bezpieczeństwa informacji;</w:t>
      </w:r>
    </w:p>
    <w:p w:rsidR="00012B0B" w:rsidRDefault="00012B0B">
      <w:pPr>
        <w:pStyle w:val="Akapitzlist"/>
        <w:numPr>
          <w:ilvl w:val="1"/>
          <w:numId w:val="5"/>
        </w:numPr>
        <w:spacing w:line="276" w:lineRule="auto"/>
        <w:ind w:left="709" w:hanging="425"/>
        <w:jc w:val="both"/>
      </w:pPr>
      <w:r w:rsidRPr="00C375A9">
        <w:t>sposób zgłaszania i postępowania z incydentami (działania korygujące), rejestr incydentów naruszenia BI, wpływ analizy incydentów na SZBI, ewentualna współpraca z CERT.GOV.PL, zgodnie z §</w:t>
      </w:r>
      <w:r w:rsidR="00791DCD">
        <w:t>19</w:t>
      </w:r>
      <w:r w:rsidRPr="00C375A9">
        <w:t xml:space="preserve"> ust. 2 pkt 13 </w:t>
      </w:r>
      <w:r>
        <w:t>R</w:t>
      </w:r>
      <w:r w:rsidRPr="00C375A9">
        <w:t>ozporządzenia KRI</w:t>
      </w:r>
      <w:r>
        <w:t>;</w:t>
      </w:r>
    </w:p>
    <w:p w:rsidR="00012B0B" w:rsidRDefault="00012B0B">
      <w:pPr>
        <w:pStyle w:val="Akapitzlist"/>
        <w:numPr>
          <w:ilvl w:val="1"/>
          <w:numId w:val="5"/>
        </w:numPr>
        <w:spacing w:line="276" w:lineRule="auto"/>
        <w:ind w:left="709" w:hanging="425"/>
        <w:jc w:val="both"/>
      </w:pPr>
      <w:r w:rsidRPr="00C375A9">
        <w:t>regulacje wewnętrzne, w których określono zasady przeprowadzania audytów wewnętrznych w zakresie BI;</w:t>
      </w:r>
    </w:p>
    <w:p w:rsidR="00012B0B" w:rsidRDefault="00012B0B">
      <w:pPr>
        <w:pStyle w:val="Akapitzlist"/>
        <w:numPr>
          <w:ilvl w:val="1"/>
          <w:numId w:val="5"/>
        </w:numPr>
        <w:spacing w:line="276" w:lineRule="auto"/>
        <w:ind w:left="709" w:hanging="425"/>
        <w:jc w:val="both"/>
      </w:pPr>
      <w:r w:rsidRPr="00C375A9">
        <w:t>sprawozdania z audytu wewnętrznego w zakresie bezpieczeństwa informacji, zgodnie z</w:t>
      </w:r>
      <w:r>
        <w:t> </w:t>
      </w:r>
      <w:r w:rsidRPr="00C375A9">
        <w:t>§</w:t>
      </w:r>
      <w:r w:rsidR="00791DCD">
        <w:t>19</w:t>
      </w:r>
      <w:r w:rsidRPr="00C375A9">
        <w:t xml:space="preserve"> ust. 2 pkt 14 </w:t>
      </w:r>
      <w:r>
        <w:t>R</w:t>
      </w:r>
      <w:r w:rsidRPr="00C375A9">
        <w:t>ozporządzenia KRI;</w:t>
      </w:r>
    </w:p>
    <w:p w:rsidR="00012B0B" w:rsidRDefault="00012B0B">
      <w:pPr>
        <w:pStyle w:val="Akapitzlist"/>
        <w:numPr>
          <w:ilvl w:val="1"/>
          <w:numId w:val="5"/>
        </w:numPr>
        <w:spacing w:line="276" w:lineRule="auto"/>
        <w:ind w:left="709" w:hanging="425"/>
        <w:jc w:val="both"/>
      </w:pPr>
      <w:r w:rsidRPr="00C375A9">
        <w:t>działania podjęte w wyniku zaleceń poaudytowych</w:t>
      </w:r>
      <w:r>
        <w:t>;</w:t>
      </w:r>
    </w:p>
    <w:p w:rsidR="00012B0B" w:rsidRDefault="00012B0B">
      <w:pPr>
        <w:pStyle w:val="Akapitzlist"/>
        <w:numPr>
          <w:ilvl w:val="1"/>
          <w:numId w:val="5"/>
        </w:numPr>
        <w:spacing w:line="276" w:lineRule="auto"/>
        <w:ind w:left="709" w:hanging="425"/>
        <w:jc w:val="both"/>
      </w:pPr>
      <w:r w:rsidRPr="00C375A9">
        <w:t>określenie zasad tworzenia, przechowywania oraz testowania kopii zapasowych danych i</w:t>
      </w:r>
      <w:r>
        <w:t> </w:t>
      </w:r>
      <w:r w:rsidRPr="00C375A9">
        <w:t>systemów podmiotu, zgodnie §</w:t>
      </w:r>
      <w:r w:rsidR="00791DCD">
        <w:t>19</w:t>
      </w:r>
      <w:r w:rsidRPr="00C375A9">
        <w:t xml:space="preserve"> ust. 2 pkt 12 lit. b rozporządzenia KRI;</w:t>
      </w:r>
    </w:p>
    <w:p w:rsidR="00012B0B" w:rsidRDefault="00012B0B">
      <w:pPr>
        <w:pStyle w:val="Akapitzlist"/>
        <w:numPr>
          <w:ilvl w:val="1"/>
          <w:numId w:val="5"/>
        </w:numPr>
        <w:spacing w:line="276" w:lineRule="auto"/>
        <w:ind w:left="709" w:hanging="425"/>
        <w:jc w:val="both"/>
      </w:pPr>
      <w:r w:rsidRPr="00C375A9">
        <w:t>działania związane z wykonywaniem, przechowywaniem i testowaniem kopii zapasowych danych i systemów oraz dokumentacja z tych działań</w:t>
      </w:r>
      <w:r>
        <w:t>;</w:t>
      </w:r>
    </w:p>
    <w:p w:rsidR="00012B0B" w:rsidRDefault="00012B0B">
      <w:pPr>
        <w:pStyle w:val="Akapitzlist"/>
        <w:numPr>
          <w:ilvl w:val="1"/>
          <w:numId w:val="5"/>
        </w:numPr>
        <w:spacing w:line="276" w:lineRule="auto"/>
        <w:ind w:left="709" w:hanging="425"/>
        <w:jc w:val="both"/>
      </w:pPr>
      <w:r>
        <w:t>r</w:t>
      </w:r>
      <w:r w:rsidRPr="005D019F">
        <w:t>egulacje wewnętrzne, w których ustalono zasady postępowania z informacjami zapewniające minimalizację wystąpienia ryzyka kradzieży informacji i środków przetwarzania informacji, oraz urządzeń mobilnych, w tym plan postępowania z ryzykiem, zgodne z §</w:t>
      </w:r>
      <w:r w:rsidR="00791DCD">
        <w:t>19</w:t>
      </w:r>
      <w:r w:rsidRPr="005D019F">
        <w:t xml:space="preserve"> ust. 2 pkt 11 </w:t>
      </w:r>
      <w:r>
        <w:t>R</w:t>
      </w:r>
      <w:r w:rsidRPr="005D019F">
        <w:t>ozporządzenia KRI;</w:t>
      </w:r>
    </w:p>
    <w:p w:rsidR="00012B0B" w:rsidRDefault="00012B0B">
      <w:pPr>
        <w:pStyle w:val="Akapitzlist"/>
        <w:numPr>
          <w:ilvl w:val="1"/>
          <w:numId w:val="5"/>
        </w:numPr>
        <w:spacing w:line="276" w:lineRule="auto"/>
        <w:ind w:left="709" w:hanging="425"/>
        <w:jc w:val="both"/>
      </w:pPr>
      <w:r w:rsidRPr="005D019F">
        <w:t>regulacje wewnętrzne dotyczące zapewnienia ochrony przetwarzanych informacji przed ich kradzieżą, nieuprawnionym dostępem, uszkodzeniami lub zakłóceniami poprzez ustalenie zabezpieczeń informacji w sposób uniemożliwiający nieuprawnionemu jej ujawnienie, modyfikacje usunięcie lub zniszczenie, zgodnie z §</w:t>
      </w:r>
      <w:r w:rsidR="00791DCD">
        <w:t>19</w:t>
      </w:r>
      <w:r w:rsidRPr="005D019F">
        <w:t xml:space="preserve"> ust. 2 pkt 7 i 9 </w:t>
      </w:r>
      <w:r>
        <w:t>R</w:t>
      </w:r>
      <w:r w:rsidRPr="005D019F">
        <w:t>ozporządzenia KRI;</w:t>
      </w:r>
    </w:p>
    <w:p w:rsidR="00012B0B" w:rsidRDefault="00012B0B">
      <w:pPr>
        <w:pStyle w:val="Akapitzlist"/>
        <w:numPr>
          <w:ilvl w:val="1"/>
          <w:numId w:val="5"/>
        </w:numPr>
        <w:spacing w:line="276" w:lineRule="auto"/>
        <w:ind w:left="709" w:hanging="425"/>
        <w:jc w:val="both"/>
      </w:pPr>
      <w:r w:rsidRPr="005D019F">
        <w:t>działania związane z monitorowaniem dostępu do informacji np. w systemie informatycznym odnotowującym w bazie danych wszystkie działania użytkowników i</w:t>
      </w:r>
      <w:r>
        <w:t> </w:t>
      </w:r>
      <w:r w:rsidRPr="005D019F">
        <w:t>administratorów dotyczące systemów teleinformatycznych podmiotu publicznego. Działania związane z</w:t>
      </w:r>
      <w:r w:rsidR="000337A0">
        <w:t> </w:t>
      </w:r>
      <w:r w:rsidRPr="005D019F">
        <w:t xml:space="preserve">monitorowaniem ruchu osobowego w podmiocie, zgodnie z § </w:t>
      </w:r>
      <w:r w:rsidR="00791DCD">
        <w:t>19</w:t>
      </w:r>
      <w:r w:rsidRPr="005D019F">
        <w:t xml:space="preserve"> ust. 2 pkt 7 lit</w:t>
      </w:r>
      <w:r w:rsidR="00791DCD">
        <w:t>.</w:t>
      </w:r>
      <w:r w:rsidRPr="005D019F">
        <w:t xml:space="preserve"> a) </w:t>
      </w:r>
      <w:r>
        <w:t>R</w:t>
      </w:r>
      <w:r w:rsidRPr="005D019F">
        <w:t>ozporządzenia KRI;</w:t>
      </w:r>
    </w:p>
    <w:p w:rsidR="00012B0B" w:rsidRDefault="00012B0B">
      <w:pPr>
        <w:pStyle w:val="Akapitzlist"/>
        <w:numPr>
          <w:ilvl w:val="1"/>
          <w:numId w:val="5"/>
        </w:numPr>
        <w:spacing w:line="276" w:lineRule="auto"/>
        <w:ind w:left="709" w:hanging="425"/>
        <w:jc w:val="both"/>
      </w:pPr>
      <w:r w:rsidRPr="005D019F">
        <w:t>czynności zmierzające do wykrycia nieautoryzowanych działań związanych z</w:t>
      </w:r>
      <w:r>
        <w:t> </w:t>
      </w:r>
      <w:r w:rsidRPr="005D019F">
        <w:t>przetwarzaniem informacji poprzez kontrolę logów systemów, kontrolę wejść i wyjść do pomieszczeń serwerowni, analizę rejestru zgłoszeń serwisowych, analizę rejestru incydentów naruszenia BI, zgodnie z §</w:t>
      </w:r>
      <w:r w:rsidR="00791DCD">
        <w:t>19</w:t>
      </w:r>
      <w:r w:rsidRPr="005D019F">
        <w:t xml:space="preserve"> ust. 2 pkt 7 lit</w:t>
      </w:r>
      <w:r w:rsidR="00791DCD">
        <w:t>.</w:t>
      </w:r>
      <w:r w:rsidRPr="005D019F">
        <w:t xml:space="preserve"> b) </w:t>
      </w:r>
      <w:r>
        <w:t>R</w:t>
      </w:r>
      <w:r w:rsidRPr="005D019F">
        <w:t>ozporządzenia KRI;</w:t>
      </w:r>
    </w:p>
    <w:p w:rsidR="00012B0B" w:rsidRDefault="00012B0B">
      <w:pPr>
        <w:pStyle w:val="Akapitzlist"/>
        <w:numPr>
          <w:ilvl w:val="1"/>
          <w:numId w:val="5"/>
        </w:numPr>
        <w:spacing w:line="276" w:lineRule="auto"/>
        <w:ind w:left="709" w:hanging="425"/>
        <w:jc w:val="both"/>
      </w:pPr>
      <w:r w:rsidRPr="005D019F">
        <w:t xml:space="preserve">działania związane z zapewnieniem środków uniemożliwiających nieautoryzowany dostęp na poziomie systemów operacyjnych usług sieciowych i aplikacji poprzez stosowanie systemu kontroli dostępu do pomieszczeń serwerowni, systemu autoryzacji dostępu do systemów operacyjnych, sieci i aplikacji, stosowanie zabezpieczeń kryptograficznych, stosowanie systemów antywirusowych i antyspamowych, stosowanie zapór sieciowych typu firewall </w:t>
      </w:r>
      <w:r w:rsidRPr="005D019F">
        <w:lastRenderedPageBreak/>
        <w:t xml:space="preserve">zgodnie z wynikami analizy ryzyka i planem postępowania z ryzykiem, zgodnie z § </w:t>
      </w:r>
      <w:r w:rsidR="00791DCD">
        <w:t>19</w:t>
      </w:r>
      <w:r w:rsidRPr="005D019F">
        <w:t xml:space="preserve"> ust. 2 pkt 7 lit</w:t>
      </w:r>
      <w:r w:rsidR="00791DCD">
        <w:t>.</w:t>
      </w:r>
      <w:r w:rsidRPr="005D019F">
        <w:t xml:space="preserve"> c) </w:t>
      </w:r>
      <w:r>
        <w:t>R</w:t>
      </w:r>
      <w:r w:rsidRPr="005D019F">
        <w:t>ozporządzenia KRI;</w:t>
      </w:r>
    </w:p>
    <w:p w:rsidR="00012B0B" w:rsidRDefault="00012B0B">
      <w:pPr>
        <w:pStyle w:val="Akapitzlist"/>
        <w:numPr>
          <w:ilvl w:val="1"/>
          <w:numId w:val="5"/>
        </w:numPr>
        <w:spacing w:line="276" w:lineRule="auto"/>
        <w:ind w:left="709" w:hanging="425"/>
        <w:jc w:val="both"/>
      </w:pPr>
      <w:r w:rsidRPr="005D019F">
        <w:t>działania związane z ochroną fizyczną informacji zapewniające minimalizację wystąpienia ryzyka kradzieży informacji i środków przetwarzania informacji, w tym urządzeń mobilnych, zgodne z wynikami analizy ryzyka i planem postępowania z ryzykiem;</w:t>
      </w:r>
    </w:p>
    <w:p w:rsidR="00012B0B" w:rsidRDefault="00012B0B">
      <w:pPr>
        <w:pStyle w:val="Akapitzlist"/>
        <w:numPr>
          <w:ilvl w:val="1"/>
          <w:numId w:val="5"/>
        </w:numPr>
        <w:spacing w:line="276" w:lineRule="auto"/>
        <w:ind w:left="709" w:hanging="425"/>
        <w:jc w:val="both"/>
      </w:pPr>
      <w:r w:rsidRPr="005D019F">
        <w:t>działania związane z utylizacją sprzętu informatycznego i nośników danych a także związane z przekazywaniem sprzętu informatycznego do naprawy w sposób gwarantujący zachowanie BI</w:t>
      </w:r>
      <w:r>
        <w:t>;</w:t>
      </w:r>
    </w:p>
    <w:p w:rsidR="00012B0B" w:rsidRDefault="00012B0B">
      <w:pPr>
        <w:pStyle w:val="Akapitzlist"/>
        <w:numPr>
          <w:ilvl w:val="1"/>
          <w:numId w:val="5"/>
        </w:numPr>
        <w:spacing w:line="276" w:lineRule="auto"/>
        <w:ind w:left="709" w:hanging="425"/>
        <w:jc w:val="both"/>
      </w:pPr>
      <w:r w:rsidRPr="00054F97">
        <w:t>regulacje wewnętrzne, w których ustalono zasady w celu zapewnienia odpowiedniego poziomu bezpieczeństwa systemów teleinformatycznych poprzez opisy stosowania zabezpieczeń, w tym plan postępowania z ryzykiem, zgodnie z §</w:t>
      </w:r>
      <w:r w:rsidR="00791DCD">
        <w:t>19</w:t>
      </w:r>
      <w:r w:rsidRPr="00054F97">
        <w:t xml:space="preserve"> ust. 2 pkt 12 oraz ust. 4 </w:t>
      </w:r>
      <w:r>
        <w:t>R</w:t>
      </w:r>
      <w:r w:rsidRPr="00054F97">
        <w:t>ozporządzenia KRI;</w:t>
      </w:r>
    </w:p>
    <w:p w:rsidR="00012B0B" w:rsidRDefault="00012B0B">
      <w:pPr>
        <w:pStyle w:val="Akapitzlist"/>
        <w:numPr>
          <w:ilvl w:val="1"/>
          <w:numId w:val="5"/>
        </w:numPr>
        <w:spacing w:line="276" w:lineRule="auto"/>
        <w:ind w:left="709" w:hanging="425"/>
        <w:jc w:val="both"/>
      </w:pPr>
      <w:r w:rsidRPr="00054F97">
        <w:t>regulacje wewnętrzne zawierające zasady prowadzenia i wykorzystania dzienników systemowych (logów), w których odnotowuje się obligatoryjnie działania użytkowników lub obiektów systemowych, zgodnie z §2</w:t>
      </w:r>
      <w:r w:rsidR="00791DCD">
        <w:t>0</w:t>
      </w:r>
      <w:r w:rsidRPr="00054F97">
        <w:t xml:space="preserve"> </w:t>
      </w:r>
      <w:r>
        <w:t>R</w:t>
      </w:r>
      <w:r w:rsidRPr="00054F97">
        <w:t>ozporządzenia KRI;</w:t>
      </w:r>
    </w:p>
    <w:p w:rsidR="00012B0B" w:rsidRDefault="00012B0B">
      <w:pPr>
        <w:pStyle w:val="Akapitzlist"/>
        <w:numPr>
          <w:ilvl w:val="1"/>
          <w:numId w:val="5"/>
        </w:numPr>
        <w:spacing w:line="276" w:lineRule="auto"/>
        <w:ind w:left="709" w:hanging="425"/>
        <w:jc w:val="both"/>
      </w:pPr>
      <w:r w:rsidRPr="0091088B">
        <w:t>sposób prezentacji informacji na stronach internetowych systemów telekomunikacyjnych podmiotu</w:t>
      </w:r>
      <w:r>
        <w:t xml:space="preserve"> oraz zgodność z wymogami WCAG2.1.</w:t>
      </w:r>
    </w:p>
    <w:p w:rsidR="00012B0B" w:rsidRDefault="00012B0B">
      <w:pPr>
        <w:pStyle w:val="Akapitzlist"/>
        <w:numPr>
          <w:ilvl w:val="0"/>
          <w:numId w:val="5"/>
        </w:numPr>
        <w:spacing w:line="276" w:lineRule="auto"/>
        <w:jc w:val="both"/>
      </w:pPr>
      <w:r w:rsidRPr="0091088B">
        <w:t>Na podstawie przeprowadzonej analizy dokumentacji oraz audytu bezpieczeństwa, Wykonawca jest zobowiązany przedstawić pisemny raport zawierający wszystkie wyniki, wnioski wraz z</w:t>
      </w:r>
      <w:r>
        <w:t> </w:t>
      </w:r>
      <w:r w:rsidRPr="0091088B">
        <w:t>propozycją zmian w zakresie spełnienia wymagań Rozporządzenia KRI. W raporcie muszą zostać uwzględnione wszystkie wyniki cząstkowe z audytowanych obszarów. Spełnienie poszczególnych wymagań zostanie określone w trzyelementowej skali: 1) spełnione – oznacza, że wymaganie normy zostało całkowicie wdrożone, 2) 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 3) niespełnione – wymaganie niespełnione oznacza, że nie zostało ono w ogóle zidentyfikowane przez podmiot (podmiot nie jest świadomy danego zagrożenia) lub nie podjęto żadnych działań, aby wdrożyć odpowiednie mechanizmy zabezpieczające.</w:t>
      </w:r>
    </w:p>
    <w:p w:rsidR="00DD1F32" w:rsidRDefault="00DD1F32" w:rsidP="004D6423">
      <w:pPr>
        <w:pStyle w:val="Nagwek1"/>
        <w:numPr>
          <w:ilvl w:val="1"/>
          <w:numId w:val="1"/>
        </w:numPr>
        <w:spacing w:after="240" w:line="276" w:lineRule="auto"/>
      </w:pPr>
      <w:bookmarkStart w:id="9" w:name="_Toc199087737"/>
      <w:r>
        <w:t>Zakup usług szkolenia pracowników z zakresu cyberbezpieczeństwa.</w:t>
      </w:r>
      <w:bookmarkEnd w:id="9"/>
    </w:p>
    <w:p w:rsidR="00C07B97" w:rsidRPr="004409EE" w:rsidRDefault="00C07B97" w:rsidP="00C07B97">
      <w:pPr>
        <w:spacing w:line="276" w:lineRule="auto"/>
        <w:jc w:val="both"/>
        <w:rPr>
          <w:u w:val="single"/>
        </w:rPr>
      </w:pPr>
      <w:r w:rsidRPr="004409EE">
        <w:rPr>
          <w:u w:val="single"/>
        </w:rPr>
        <w:t>Wymagania ogólne dla szkoleń:</w:t>
      </w:r>
    </w:p>
    <w:p w:rsidR="00C07B97" w:rsidRPr="00397668" w:rsidRDefault="00C07B97">
      <w:pPr>
        <w:pStyle w:val="Akapitzlist"/>
        <w:numPr>
          <w:ilvl w:val="0"/>
          <w:numId w:val="2"/>
        </w:numPr>
        <w:spacing w:after="0" w:line="276" w:lineRule="auto"/>
        <w:ind w:left="284" w:hanging="284"/>
        <w:jc w:val="both"/>
      </w:pPr>
      <w:r w:rsidRPr="00397668">
        <w:t xml:space="preserve">Jednostką czasową szkolenia jest 1 godzina szkoleniowa (1 godzina szkolenia = 45 minut). </w:t>
      </w:r>
    </w:p>
    <w:p w:rsidR="00C07B97" w:rsidRPr="00397668" w:rsidRDefault="00C07B97">
      <w:pPr>
        <w:pStyle w:val="Akapitzlist"/>
        <w:numPr>
          <w:ilvl w:val="0"/>
          <w:numId w:val="2"/>
        </w:numPr>
        <w:spacing w:after="0" w:line="276" w:lineRule="auto"/>
        <w:ind w:left="284" w:hanging="284"/>
        <w:jc w:val="both"/>
      </w:pPr>
      <w:r w:rsidRPr="00397668">
        <w:t>Szkolenia będą trwały maksymalnie 8 godzin szkoleniowych w ciągu dnia.</w:t>
      </w:r>
    </w:p>
    <w:p w:rsidR="00C07B97" w:rsidRPr="00397668" w:rsidRDefault="00C07B97">
      <w:pPr>
        <w:pStyle w:val="Akapitzlist"/>
        <w:numPr>
          <w:ilvl w:val="0"/>
          <w:numId w:val="2"/>
        </w:numPr>
        <w:spacing w:after="0" w:line="276" w:lineRule="auto"/>
        <w:ind w:left="284" w:hanging="284"/>
        <w:jc w:val="both"/>
      </w:pPr>
      <w:r w:rsidRPr="00397668">
        <w:t>Szkolenia będą odbywać się w dni robocze w godzinach  7.30 – 15.30.</w:t>
      </w:r>
    </w:p>
    <w:p w:rsidR="00C07B97" w:rsidRPr="00397668" w:rsidRDefault="00C07B97">
      <w:pPr>
        <w:pStyle w:val="Akapitzlist"/>
        <w:numPr>
          <w:ilvl w:val="0"/>
          <w:numId w:val="2"/>
        </w:numPr>
        <w:spacing w:after="0" w:line="276" w:lineRule="auto"/>
        <w:ind w:left="284" w:hanging="284"/>
        <w:jc w:val="both"/>
      </w:pPr>
      <w:r w:rsidRPr="00397668">
        <w:t>Szkolenia będą prowadzone w języku polskim</w:t>
      </w:r>
      <w:r>
        <w:t xml:space="preserve"> w formule stacjonarnej w siedzibie Zamawiającego. Zamawiający dopuszcza prowadzenie szkoleń w trybie zdalnym w formule on-line.</w:t>
      </w:r>
    </w:p>
    <w:p w:rsidR="00C07B97" w:rsidRPr="00397668" w:rsidRDefault="00C07B97">
      <w:pPr>
        <w:pStyle w:val="Akapitzlist"/>
        <w:numPr>
          <w:ilvl w:val="0"/>
          <w:numId w:val="2"/>
        </w:numPr>
        <w:spacing w:after="0" w:line="276" w:lineRule="auto"/>
        <w:ind w:left="284" w:hanging="284"/>
        <w:jc w:val="both"/>
      </w:pPr>
      <w:r w:rsidRPr="00397668">
        <w:t xml:space="preserve">Szkolenia prowadzone będą na podstawie zaakceptowanego prze Zamawiającego dziennego harmonogramu prac, dostarczonego przez Wykonawcę Zamawiającemu nie później niż </w:t>
      </w:r>
      <w:r>
        <w:t>14</w:t>
      </w:r>
      <w:r w:rsidRPr="00397668">
        <w:t xml:space="preserve"> dni przed rozpoczęciem szkolenia.</w:t>
      </w:r>
    </w:p>
    <w:p w:rsidR="00C07B97" w:rsidRPr="00397668" w:rsidRDefault="00C07B97">
      <w:pPr>
        <w:pStyle w:val="Akapitzlist"/>
        <w:numPr>
          <w:ilvl w:val="0"/>
          <w:numId w:val="2"/>
        </w:numPr>
        <w:spacing w:after="0" w:line="276" w:lineRule="auto"/>
        <w:ind w:left="284" w:hanging="284"/>
        <w:jc w:val="both"/>
      </w:pPr>
      <w:r w:rsidRPr="00397668">
        <w:lastRenderedPageBreak/>
        <w:t>Szkolenia prowadzone będą na podstawie zaakceptowanego prze</w:t>
      </w:r>
      <w:r>
        <w:t>z</w:t>
      </w:r>
      <w:r w:rsidRPr="00397668">
        <w:t xml:space="preserve"> Zamawiającego szczegółowego zakresu merytorycznego szkolenia dostarczonego przez Wykonawcę. </w:t>
      </w:r>
    </w:p>
    <w:p w:rsidR="00C07B97" w:rsidRPr="00397668" w:rsidRDefault="00C07B97">
      <w:pPr>
        <w:pStyle w:val="Akapitzlist"/>
        <w:numPr>
          <w:ilvl w:val="0"/>
          <w:numId w:val="2"/>
        </w:numPr>
        <w:spacing w:after="0" w:line="276" w:lineRule="auto"/>
        <w:ind w:left="284" w:hanging="284"/>
        <w:jc w:val="both"/>
      </w:pPr>
      <w:r w:rsidRPr="00397668">
        <w:t>W przypadku szkoleń trwających do 3 godzin, przewiduje się jedną przerwę trwającą 15 minut. W</w:t>
      </w:r>
      <w:r>
        <w:t> </w:t>
      </w:r>
      <w:r w:rsidRPr="00397668">
        <w:t>przypadku szkoleń trwających powyżej 3 godzin, organizowane będą dwie przerwy trwające 15 minut każda. Dodatkowo, w przypadku szkoleń trwających 8 godzin</w:t>
      </w:r>
      <w:r>
        <w:t xml:space="preserve"> </w:t>
      </w:r>
      <w:r w:rsidRPr="00397668">
        <w:t>zaplanowana jest przerwa trwająca 30 minut.</w:t>
      </w:r>
    </w:p>
    <w:p w:rsidR="00C07B97" w:rsidRPr="00397668" w:rsidRDefault="00C07B97">
      <w:pPr>
        <w:pStyle w:val="Akapitzlist"/>
        <w:numPr>
          <w:ilvl w:val="0"/>
          <w:numId w:val="2"/>
        </w:numPr>
        <w:spacing w:after="0" w:line="276" w:lineRule="auto"/>
        <w:ind w:left="284" w:hanging="284"/>
        <w:jc w:val="both"/>
      </w:pPr>
      <w:r w:rsidRPr="00397668">
        <w:t>W ramach organizacji szkoleń Zamawiający zapewni rekrutację osób biorących udział w szkoleniach.</w:t>
      </w:r>
      <w:r>
        <w:t xml:space="preserve"> Wykonawca jest zobowiązany do przeprowadzenia szkolenia uzupełniającego</w:t>
      </w:r>
      <w:r w:rsidRPr="00A75949">
        <w:t xml:space="preserve"> dla osób, które nie ze względów przypadków losowych nie będą mogły uczestniczyć w szkoleniu w wyznaczonych terminach.</w:t>
      </w:r>
    </w:p>
    <w:p w:rsidR="00C07B97" w:rsidRPr="00397668" w:rsidRDefault="00C07B97">
      <w:pPr>
        <w:pStyle w:val="Akapitzlist"/>
        <w:numPr>
          <w:ilvl w:val="0"/>
          <w:numId w:val="2"/>
        </w:numPr>
        <w:spacing w:after="0" w:line="276" w:lineRule="auto"/>
        <w:ind w:left="284" w:hanging="284"/>
        <w:jc w:val="both"/>
      </w:pPr>
      <w:r w:rsidRPr="00397668">
        <w:t>W ramach organizacji szkoleń Wykonawca zapewni:</w:t>
      </w:r>
    </w:p>
    <w:p w:rsidR="00C07B97" w:rsidRPr="00771245" w:rsidRDefault="00C07B97">
      <w:pPr>
        <w:pStyle w:val="Akapitzlist"/>
        <w:numPr>
          <w:ilvl w:val="1"/>
          <w:numId w:val="32"/>
        </w:numPr>
        <w:spacing w:line="276" w:lineRule="auto"/>
        <w:jc w:val="both"/>
      </w:pPr>
      <w:r w:rsidRPr="00771245">
        <w:t>Materiały szkoleniowe, obejmujące szczegółowy zakres szkolenia, harmonogram dzienny szkolenia oraz materiały merytoryczne (np. skrypty, podręczniki, zeszyty informacyjne, broszury) w formie papierowej</w:t>
      </w:r>
      <w:r>
        <w:t xml:space="preserve"> lub elektronicznej</w:t>
      </w:r>
      <w:r w:rsidRPr="00771245">
        <w:t>, zawierające szczegółowe informacje, które będą omawiane podczas szkolenia. Ponadto</w:t>
      </w:r>
      <w:r>
        <w:t xml:space="preserve"> w przypadku organizacji szkoleń w formule stacjonarnej (w siedzibie Zamawiającego)</w:t>
      </w:r>
      <w:r w:rsidRPr="00771245">
        <w:t xml:space="preserve">, uczestnicy otrzymają materiały pisarskie, w tym zeszyty, długopisy, ołówki itp. Materiały szkoleniowe przekazywane są nieodpłatnie </w:t>
      </w:r>
      <w:r>
        <w:t>u</w:t>
      </w:r>
      <w:r w:rsidRPr="00771245">
        <w:t>czestnikom na własność. 2 egzemplarze materiałów szkoleniowych zostaną przekazane Zamawiającemu w celach archiwalnych.</w:t>
      </w:r>
    </w:p>
    <w:p w:rsidR="00C07B97" w:rsidRDefault="00C07B97">
      <w:pPr>
        <w:pStyle w:val="Akapitzlist"/>
        <w:numPr>
          <w:ilvl w:val="1"/>
          <w:numId w:val="32"/>
        </w:numPr>
        <w:spacing w:line="276" w:lineRule="auto"/>
        <w:jc w:val="both"/>
      </w:pPr>
      <w:r>
        <w:t>W przypadku szkoleń prowadzonych w trybie zdalnym w formule on-line Wykonawca jest zobowiązany dostarczyć narzędzia do komunikacji zdalnej, które umożliwią dwustronne przesyłanie przez sieć Internet obrazu i dźwięku między prowadzącym szkolenie a uczestnikami szkolenia. Narzędzie musi umożliwiać zadawanie pytań także w formie pisemnej bezpośrednio na czacie w trakcie trwania sesji szkoleniowej. W przypadku szkolenia prowadzonego w trybie zdalnym w formule on-line Zamawiający zastrzega możliwość nagrania szkolenia, a Wykonawca musi zapewnić wyrażenie na to zgody osoby prowadzącej szkolenie.</w:t>
      </w:r>
    </w:p>
    <w:p w:rsidR="00C07B97" w:rsidRPr="00771245" w:rsidRDefault="00C07B97">
      <w:pPr>
        <w:pStyle w:val="Akapitzlist"/>
        <w:numPr>
          <w:ilvl w:val="1"/>
          <w:numId w:val="32"/>
        </w:numPr>
        <w:spacing w:line="276" w:lineRule="auto"/>
        <w:jc w:val="both"/>
      </w:pPr>
      <w:r>
        <w:t>W przypadku szkoleń stacjonarnych (w siedzibie Zamawiającego) oraz o ile wynika to z programu szkolenia Wykonawca zapewni s</w:t>
      </w:r>
      <w:r w:rsidRPr="00771245">
        <w:t xml:space="preserve">przęt komputerowy dla każdego </w:t>
      </w:r>
      <w:r>
        <w:t>u</w:t>
      </w:r>
      <w:r w:rsidRPr="00771245">
        <w:t>czestnika</w:t>
      </w:r>
      <w:r>
        <w:t xml:space="preserve"> szkolenia</w:t>
      </w:r>
      <w:r w:rsidRPr="00771245">
        <w:t xml:space="preserve"> umożliwiający przeprowadzenie szkolenia </w:t>
      </w:r>
      <w:r>
        <w:t>oraz w</w:t>
      </w:r>
      <w:r w:rsidRPr="00771245">
        <w:t>ystarczającą liczbę własnych licencji na oprogramowanie komputerowe wykorzystywane przy realizacji szkoleń</w:t>
      </w:r>
      <w:r>
        <w:t>.</w:t>
      </w:r>
    </w:p>
    <w:p w:rsidR="00C07B97" w:rsidRPr="00771245" w:rsidRDefault="00C07B97">
      <w:pPr>
        <w:pStyle w:val="Akapitzlist"/>
        <w:numPr>
          <w:ilvl w:val="1"/>
          <w:numId w:val="32"/>
        </w:numPr>
        <w:spacing w:line="276" w:lineRule="auto"/>
        <w:jc w:val="both"/>
      </w:pPr>
      <w:r w:rsidRPr="00771245">
        <w:t>Projektor multimedialny, tablice i inne artykuły niezbędne do prowadzenia szkoleń</w:t>
      </w:r>
      <w:r>
        <w:t xml:space="preserve"> w przypadku prowadzenia szkoleń stacjonarnych (w siedzibie Zamawiającego)</w:t>
      </w:r>
      <w:r w:rsidRPr="00771245">
        <w:t xml:space="preserve">. </w:t>
      </w:r>
    </w:p>
    <w:p w:rsidR="00C07B97" w:rsidRPr="00771245" w:rsidRDefault="00C07B97">
      <w:pPr>
        <w:pStyle w:val="Akapitzlist"/>
        <w:numPr>
          <w:ilvl w:val="1"/>
          <w:numId w:val="32"/>
        </w:numPr>
        <w:spacing w:line="276" w:lineRule="auto"/>
        <w:jc w:val="both"/>
      </w:pPr>
      <w:r w:rsidRPr="00771245">
        <w:t xml:space="preserve">Właściwe działania promocyjne i informacyjne dotyczące szkoleń, w tym właściwe oznakowanie sal szkoleniowych, jak również oznakowanie w odpowiedni sposób materiałów szkoleniowych przekazanych </w:t>
      </w:r>
      <w:r>
        <w:t>u</w:t>
      </w:r>
      <w:r w:rsidRPr="00771245">
        <w:t xml:space="preserve">czestnikom oraz Zamawiającemu w celach archiwalnych obowiązkowymi oznaczeniami Beneficjentów Funduszy Europejskich.  </w:t>
      </w:r>
    </w:p>
    <w:p w:rsidR="00C07B97" w:rsidRPr="00771245" w:rsidRDefault="00C07B97">
      <w:pPr>
        <w:pStyle w:val="Akapitzlist"/>
        <w:numPr>
          <w:ilvl w:val="1"/>
          <w:numId w:val="32"/>
        </w:numPr>
        <w:spacing w:line="276" w:lineRule="auto"/>
        <w:jc w:val="both"/>
      </w:pPr>
      <w:r w:rsidRPr="00771245">
        <w:t xml:space="preserve">Wydanie </w:t>
      </w:r>
      <w:r>
        <w:t>u</w:t>
      </w:r>
      <w:r w:rsidRPr="00771245">
        <w:t>czestnikom szkolenia zaświadczeń o ukończeniu danego szkolenia.</w:t>
      </w:r>
    </w:p>
    <w:p w:rsidR="00C07B97" w:rsidRPr="00771245" w:rsidRDefault="00C07B97">
      <w:pPr>
        <w:pStyle w:val="Akapitzlist"/>
        <w:numPr>
          <w:ilvl w:val="1"/>
          <w:numId w:val="32"/>
        </w:numPr>
        <w:spacing w:line="276" w:lineRule="auto"/>
        <w:jc w:val="both"/>
      </w:pPr>
      <w:r w:rsidRPr="00771245">
        <w:t>Kadrę</w:t>
      </w:r>
      <w:r>
        <w:t xml:space="preserve"> </w:t>
      </w:r>
      <w:r w:rsidRPr="00771245">
        <w:t>trenerską posiadającą wiedzę i umiejętności adekwatne do rodzaju i zakresu merytorycznego szkolenia, zdolną do pełnej realizacji wymogów związanych z prowadzeniem szkoleń.</w:t>
      </w:r>
    </w:p>
    <w:p w:rsidR="00C07B97" w:rsidRPr="00771245" w:rsidRDefault="00C07B97">
      <w:pPr>
        <w:pStyle w:val="Akapitzlist"/>
        <w:numPr>
          <w:ilvl w:val="1"/>
          <w:numId w:val="32"/>
        </w:numPr>
        <w:spacing w:line="276" w:lineRule="auto"/>
        <w:jc w:val="both"/>
      </w:pPr>
      <w:r w:rsidRPr="00771245">
        <w:t>Prowadzenie dokumentacji wszystkich szkoleń w jednakowy sposób. Na dokumentację szkolenia składają się:</w:t>
      </w:r>
    </w:p>
    <w:p w:rsidR="00C07B97" w:rsidRPr="00771245" w:rsidRDefault="00C07B97">
      <w:pPr>
        <w:pStyle w:val="Akapitzlist"/>
        <w:numPr>
          <w:ilvl w:val="2"/>
          <w:numId w:val="33"/>
        </w:numPr>
        <w:spacing w:line="276" w:lineRule="auto"/>
        <w:jc w:val="both"/>
      </w:pPr>
      <w:r w:rsidRPr="00771245">
        <w:t xml:space="preserve">Lista obecności </w:t>
      </w:r>
      <w:r>
        <w:t>u</w:t>
      </w:r>
      <w:r w:rsidRPr="00771245">
        <w:t>czestników szkolenia (dzienne, wypełniane oddzielnie każdego dnia szkolenia).</w:t>
      </w:r>
    </w:p>
    <w:p w:rsidR="00C07B97" w:rsidRPr="00771245" w:rsidRDefault="00C07B97">
      <w:pPr>
        <w:pStyle w:val="Akapitzlist"/>
        <w:numPr>
          <w:ilvl w:val="2"/>
          <w:numId w:val="33"/>
        </w:numPr>
        <w:spacing w:line="276" w:lineRule="auto"/>
        <w:jc w:val="both"/>
      </w:pPr>
      <w:r w:rsidRPr="00771245">
        <w:lastRenderedPageBreak/>
        <w:t>Lista odbioru zaświadczeń o ukończeniu szkolenia.</w:t>
      </w:r>
    </w:p>
    <w:p w:rsidR="00C07B97" w:rsidRPr="00771245" w:rsidRDefault="00C07B97">
      <w:pPr>
        <w:pStyle w:val="Akapitzlist"/>
        <w:numPr>
          <w:ilvl w:val="2"/>
          <w:numId w:val="33"/>
        </w:numPr>
        <w:spacing w:line="276" w:lineRule="auto"/>
        <w:jc w:val="both"/>
      </w:pPr>
      <w:r w:rsidRPr="00771245">
        <w:t xml:space="preserve">Potwierdzenie przez </w:t>
      </w:r>
      <w:r>
        <w:t>u</w:t>
      </w:r>
      <w:r w:rsidRPr="00771245">
        <w:t>czestników odbioru materiałów szkoleniowych.</w:t>
      </w:r>
    </w:p>
    <w:p w:rsidR="00C07B97" w:rsidRPr="00771245" w:rsidRDefault="00C07B97">
      <w:pPr>
        <w:pStyle w:val="Akapitzlist"/>
        <w:numPr>
          <w:ilvl w:val="2"/>
          <w:numId w:val="33"/>
        </w:numPr>
        <w:spacing w:line="276" w:lineRule="auto"/>
        <w:jc w:val="both"/>
      </w:pPr>
      <w:r w:rsidRPr="00771245">
        <w:t>Przeprowadzenie ankiet satysfakcji po każdym szkoleniu.</w:t>
      </w:r>
    </w:p>
    <w:p w:rsidR="00C07B97" w:rsidRDefault="00C07B97">
      <w:pPr>
        <w:pStyle w:val="Akapitzlist"/>
        <w:numPr>
          <w:ilvl w:val="2"/>
          <w:numId w:val="33"/>
        </w:numPr>
        <w:spacing w:line="276" w:lineRule="auto"/>
        <w:jc w:val="both"/>
      </w:pPr>
      <w:r w:rsidRPr="00771245">
        <w:t>Sporządzony przez kadrę trenerską dziennik zajęć, zawierający szczegółowe informacje na temat przebiegu oraz zakresu merytorycznego szkolenia, podpisany po zakończeniu szkolenia przez prowadzącego szkolenie.</w:t>
      </w:r>
    </w:p>
    <w:p w:rsidR="00C07B97" w:rsidRDefault="00C07B97" w:rsidP="00C07B97">
      <w:pPr>
        <w:spacing w:after="0" w:line="276" w:lineRule="auto"/>
        <w:jc w:val="both"/>
      </w:pPr>
    </w:p>
    <w:p w:rsidR="00C07B97" w:rsidRPr="004409EE" w:rsidRDefault="00C07B97" w:rsidP="00C07B97">
      <w:pPr>
        <w:spacing w:line="276" w:lineRule="auto"/>
        <w:jc w:val="both"/>
        <w:rPr>
          <w:u w:val="single"/>
        </w:rPr>
      </w:pPr>
      <w:r>
        <w:rPr>
          <w:u w:val="single"/>
        </w:rPr>
        <w:t>W ramach ramowego programu szkoleń Zamawiający zaleca ująć następujące zagadnienia</w:t>
      </w:r>
      <w:r w:rsidRPr="004409EE">
        <w:rPr>
          <w:u w:val="single"/>
        </w:rPr>
        <w:t>:</w:t>
      </w:r>
    </w:p>
    <w:p w:rsidR="00C07B97" w:rsidRDefault="00C07B97">
      <w:pPr>
        <w:pStyle w:val="Akapitzlist"/>
        <w:numPr>
          <w:ilvl w:val="0"/>
          <w:numId w:val="3"/>
        </w:numPr>
        <w:spacing w:after="0" w:line="276" w:lineRule="auto"/>
        <w:ind w:left="284" w:hanging="284"/>
        <w:jc w:val="both"/>
      </w:pPr>
      <w:r>
        <w:t>G</w:t>
      </w:r>
      <w:r w:rsidRPr="00D65740">
        <w:t>łówne założenia i wymagania prawne</w:t>
      </w:r>
      <w:r>
        <w:t xml:space="preserve"> cyberbezpieczeństwa w pracy urzędnika.</w:t>
      </w:r>
    </w:p>
    <w:p w:rsidR="00C07B97" w:rsidRDefault="00C07B97">
      <w:pPr>
        <w:pStyle w:val="Akapitzlist"/>
        <w:numPr>
          <w:ilvl w:val="0"/>
          <w:numId w:val="3"/>
        </w:numPr>
        <w:spacing w:after="0" w:line="276" w:lineRule="auto"/>
        <w:ind w:left="284" w:hanging="284"/>
        <w:jc w:val="both"/>
      </w:pPr>
      <w:r w:rsidRPr="00D65740">
        <w:t>Polityka bezpieczeństwa w organizacji</w:t>
      </w:r>
      <w:r>
        <w:t>.</w:t>
      </w:r>
    </w:p>
    <w:p w:rsidR="00C07B97" w:rsidRDefault="00C07B97">
      <w:pPr>
        <w:pStyle w:val="Akapitzlist"/>
        <w:numPr>
          <w:ilvl w:val="0"/>
          <w:numId w:val="3"/>
        </w:numPr>
        <w:spacing w:after="0" w:line="276" w:lineRule="auto"/>
        <w:ind w:left="284" w:hanging="284"/>
        <w:jc w:val="both"/>
      </w:pPr>
      <w:r>
        <w:t>Definicja incydentu bezpieczeństwa i zasady postępowania z incydentem.</w:t>
      </w:r>
    </w:p>
    <w:p w:rsidR="00C07B97" w:rsidRPr="00D65740" w:rsidRDefault="00C07B97">
      <w:pPr>
        <w:pStyle w:val="Akapitzlist"/>
        <w:numPr>
          <w:ilvl w:val="0"/>
          <w:numId w:val="3"/>
        </w:numPr>
        <w:spacing w:after="0" w:line="276" w:lineRule="auto"/>
        <w:ind w:left="284" w:hanging="284"/>
        <w:jc w:val="both"/>
      </w:pPr>
      <w:r>
        <w:t>Rodzaje ataków: a</w:t>
      </w:r>
      <w:r w:rsidRPr="00D65740">
        <w:t>taki socjotechniczne</w:t>
      </w:r>
      <w:r>
        <w:t>, ataki komputerowe, a</w:t>
      </w:r>
      <w:r w:rsidRPr="00D65740">
        <w:t>taki przez sieci bezprzewodowe</w:t>
      </w:r>
      <w:r>
        <w:t>, ataki przez pocztę e-mail (fałszywe e-maile), ataki przez strony WWW, a</w:t>
      </w:r>
      <w:r w:rsidRPr="004F6CF2">
        <w:t>taki przez telefon</w:t>
      </w:r>
      <w:r>
        <w:t xml:space="preserve">, </w:t>
      </w:r>
      <w:proofErr w:type="spellStart"/>
      <w:r w:rsidRPr="004F6CF2">
        <w:t>phishing</w:t>
      </w:r>
      <w:proofErr w:type="spellEnd"/>
      <w:r>
        <w:t xml:space="preserve">, </w:t>
      </w:r>
      <w:proofErr w:type="spellStart"/>
      <w:r w:rsidRPr="004F6CF2">
        <w:t>spoofing</w:t>
      </w:r>
      <w:proofErr w:type="spellEnd"/>
      <w:r w:rsidRPr="004F6CF2">
        <w:t>, spam</w:t>
      </w:r>
      <w:r>
        <w:t>.</w:t>
      </w:r>
    </w:p>
    <w:p w:rsidR="00C07B97" w:rsidRPr="006D1CE8" w:rsidRDefault="00C07B97">
      <w:pPr>
        <w:pStyle w:val="Akapitzlist"/>
        <w:numPr>
          <w:ilvl w:val="0"/>
          <w:numId w:val="3"/>
        </w:numPr>
        <w:spacing w:after="0" w:line="276" w:lineRule="auto"/>
        <w:ind w:left="284" w:hanging="284"/>
        <w:jc w:val="both"/>
      </w:pPr>
      <w:r w:rsidRPr="004F6CF2">
        <w:t>Bezpieczeństwo fizyczne - urządzenia, dokumenty, „czyste biurko”</w:t>
      </w:r>
      <w:r>
        <w:t>.</w:t>
      </w:r>
    </w:p>
    <w:p w:rsidR="00C07B97" w:rsidRPr="004F6CF2" w:rsidRDefault="00C07B97">
      <w:pPr>
        <w:pStyle w:val="Akapitzlist"/>
        <w:numPr>
          <w:ilvl w:val="0"/>
          <w:numId w:val="3"/>
        </w:numPr>
        <w:spacing w:after="0" w:line="276" w:lineRule="auto"/>
        <w:ind w:left="284" w:hanging="284"/>
        <w:jc w:val="both"/>
      </w:pPr>
      <w:r w:rsidRPr="004F6CF2">
        <w:t xml:space="preserve">Zabezpieczenie informatycznych nośników danych – </w:t>
      </w:r>
      <w:proofErr w:type="spellStart"/>
      <w:r w:rsidRPr="004F6CF2">
        <w:t>pendrivy</w:t>
      </w:r>
      <w:proofErr w:type="spellEnd"/>
      <w:r w:rsidRPr="004F6CF2">
        <w:t xml:space="preserve"> i pamięci zewnętrzne.</w:t>
      </w:r>
    </w:p>
    <w:p w:rsidR="00C07B97" w:rsidRPr="004F6CF2" w:rsidRDefault="00C07B97">
      <w:pPr>
        <w:pStyle w:val="Akapitzlist"/>
        <w:numPr>
          <w:ilvl w:val="0"/>
          <w:numId w:val="3"/>
        </w:numPr>
        <w:spacing w:after="0" w:line="276" w:lineRule="auto"/>
        <w:ind w:left="284" w:hanging="284"/>
        <w:jc w:val="both"/>
      </w:pPr>
      <w:r w:rsidRPr="004F6CF2">
        <w:t>Zdalny dostęp do zasobów jednostki i korzystanie z urządzeń prywatnych przez pracowników oraz związane z</w:t>
      </w:r>
      <w:r>
        <w:t xml:space="preserve"> </w:t>
      </w:r>
      <w:r w:rsidRPr="004F6CF2">
        <w:t>tym potencjalne zagrożenia.</w:t>
      </w:r>
    </w:p>
    <w:p w:rsidR="00C07B97" w:rsidRPr="004F6CF2" w:rsidRDefault="00C07B97">
      <w:pPr>
        <w:pStyle w:val="Akapitzlist"/>
        <w:numPr>
          <w:ilvl w:val="0"/>
          <w:numId w:val="3"/>
        </w:numPr>
        <w:spacing w:after="0" w:line="276" w:lineRule="auto"/>
        <w:ind w:left="284" w:hanging="284"/>
        <w:jc w:val="both"/>
      </w:pPr>
      <w:r w:rsidRPr="004F6CF2">
        <w:t>Przechowywanie danych w</w:t>
      </w:r>
      <w:r>
        <w:t xml:space="preserve"> </w:t>
      </w:r>
      <w:r w:rsidRPr="004F6CF2">
        <w:t>chmurze i</w:t>
      </w:r>
      <w:r>
        <w:t xml:space="preserve"> </w:t>
      </w:r>
      <w:r w:rsidRPr="004F6CF2">
        <w:t>korzystanie z</w:t>
      </w:r>
      <w:r>
        <w:t xml:space="preserve"> </w:t>
      </w:r>
      <w:r w:rsidRPr="004F6CF2">
        <w:t>zewnętrznych dostawców usług informatycznych.</w:t>
      </w:r>
    </w:p>
    <w:p w:rsidR="00C07B97" w:rsidRPr="004F6CF2" w:rsidRDefault="00C07B97">
      <w:pPr>
        <w:pStyle w:val="Akapitzlist"/>
        <w:numPr>
          <w:ilvl w:val="0"/>
          <w:numId w:val="3"/>
        </w:numPr>
        <w:spacing w:after="0" w:line="276" w:lineRule="auto"/>
        <w:ind w:left="284" w:hanging="284"/>
        <w:jc w:val="both"/>
      </w:pPr>
      <w:r w:rsidRPr="004F6CF2">
        <w:t>Prawidłowe korzystanie z oprogramowania antywirusowego.</w:t>
      </w:r>
    </w:p>
    <w:p w:rsidR="00C07B97" w:rsidRPr="004F6CF2" w:rsidRDefault="00C07B97">
      <w:pPr>
        <w:pStyle w:val="Akapitzlist"/>
        <w:numPr>
          <w:ilvl w:val="0"/>
          <w:numId w:val="3"/>
        </w:numPr>
        <w:spacing w:after="0" w:line="276" w:lineRule="auto"/>
        <w:ind w:left="284" w:hanging="426"/>
        <w:jc w:val="both"/>
      </w:pPr>
      <w:r w:rsidRPr="004F6CF2">
        <w:t>Zasady aktualizacji programów i aplikacji.</w:t>
      </w:r>
    </w:p>
    <w:p w:rsidR="00C07B97" w:rsidRPr="00D65740" w:rsidRDefault="00C07B97">
      <w:pPr>
        <w:pStyle w:val="Akapitzlist"/>
        <w:numPr>
          <w:ilvl w:val="0"/>
          <w:numId w:val="3"/>
        </w:numPr>
        <w:spacing w:after="0" w:line="276" w:lineRule="auto"/>
        <w:ind w:left="284" w:hanging="426"/>
        <w:jc w:val="both"/>
      </w:pPr>
      <w:r>
        <w:t>Szyfrowanie dokumentów i poczty elektronicznej.</w:t>
      </w:r>
    </w:p>
    <w:p w:rsidR="00C07B97" w:rsidRDefault="00C07B97">
      <w:pPr>
        <w:pStyle w:val="Akapitzlist"/>
        <w:numPr>
          <w:ilvl w:val="0"/>
          <w:numId w:val="3"/>
        </w:numPr>
        <w:spacing w:after="0" w:line="276" w:lineRule="auto"/>
        <w:ind w:left="284" w:hanging="426"/>
        <w:jc w:val="both"/>
      </w:pPr>
      <w:r w:rsidRPr="004F6CF2">
        <w:t>Polityka haseł, zarządzanie dostępem i tożsamością</w:t>
      </w:r>
      <w:r>
        <w:t>.</w:t>
      </w:r>
    </w:p>
    <w:p w:rsidR="00C07B97" w:rsidRDefault="00C07B97" w:rsidP="00C07B97">
      <w:pPr>
        <w:spacing w:after="0" w:line="276" w:lineRule="auto"/>
        <w:jc w:val="both"/>
        <w:rPr>
          <w:u w:val="single"/>
        </w:rPr>
      </w:pPr>
    </w:p>
    <w:p w:rsidR="00C07B97" w:rsidRPr="004409EE" w:rsidRDefault="00C07B97" w:rsidP="00C07B97">
      <w:pPr>
        <w:spacing w:line="276" w:lineRule="auto"/>
        <w:jc w:val="both"/>
        <w:rPr>
          <w:u w:val="single"/>
        </w:rPr>
      </w:pPr>
      <w:r w:rsidRPr="004409EE">
        <w:rPr>
          <w:u w:val="single"/>
        </w:rPr>
        <w:t>Dodatkowe wymagania:</w:t>
      </w:r>
    </w:p>
    <w:p w:rsidR="00C07B97" w:rsidRPr="00605855" w:rsidRDefault="00C07B97">
      <w:pPr>
        <w:pStyle w:val="Akapitzlist"/>
        <w:numPr>
          <w:ilvl w:val="0"/>
          <w:numId w:val="31"/>
        </w:numPr>
        <w:spacing w:after="0" w:line="276" w:lineRule="auto"/>
        <w:ind w:left="284" w:hanging="426"/>
        <w:jc w:val="both"/>
      </w:pPr>
      <w:r w:rsidRPr="00605855">
        <w:t>W ramach usługi zostan</w:t>
      </w:r>
      <w:r>
        <w:t>ie</w:t>
      </w:r>
      <w:r w:rsidRPr="00605855">
        <w:t xml:space="preserve"> przeszkolon</w:t>
      </w:r>
      <w:r>
        <w:t>e</w:t>
      </w:r>
      <w:r w:rsidRPr="00605855">
        <w:t xml:space="preserve"> </w:t>
      </w:r>
      <w:r w:rsidR="006A0B0B">
        <w:t>3</w:t>
      </w:r>
      <w:r>
        <w:t>0</w:t>
      </w:r>
      <w:r w:rsidRPr="00076FF5">
        <w:t xml:space="preserve"> osób w </w:t>
      </w:r>
      <w:r w:rsidR="006A0B0B">
        <w:t>4</w:t>
      </w:r>
      <w:r w:rsidR="00AD0215">
        <w:t xml:space="preserve"> </w:t>
      </w:r>
      <w:r w:rsidRPr="00076FF5">
        <w:t xml:space="preserve">grupach maksimum </w:t>
      </w:r>
      <w:r w:rsidR="00AD0215">
        <w:t>1</w:t>
      </w:r>
      <w:r>
        <w:t>0</w:t>
      </w:r>
      <w:r w:rsidRPr="00076FF5">
        <w:t>-osobowych.</w:t>
      </w:r>
    </w:p>
    <w:p w:rsidR="00C07B97" w:rsidRPr="00AF6ACD" w:rsidRDefault="00C07B97">
      <w:pPr>
        <w:pStyle w:val="Akapitzlist"/>
        <w:numPr>
          <w:ilvl w:val="0"/>
          <w:numId w:val="31"/>
        </w:numPr>
        <w:spacing w:after="0" w:line="276" w:lineRule="auto"/>
        <w:ind w:left="284" w:hanging="426"/>
        <w:jc w:val="both"/>
      </w:pPr>
      <w:r w:rsidRPr="00605855">
        <w:t>Szkoleni</w:t>
      </w:r>
      <w:r>
        <w:t>e</w:t>
      </w:r>
      <w:r w:rsidRPr="00605855">
        <w:t xml:space="preserve"> </w:t>
      </w:r>
      <w:r>
        <w:t>powinno trwać minimum 8</w:t>
      </w:r>
      <w:r w:rsidRPr="00605855">
        <w:t xml:space="preserve"> godzin szkoleniow</w:t>
      </w:r>
      <w:r>
        <w:t>ych dla 1 grupy szkoleniowej.</w:t>
      </w:r>
    </w:p>
    <w:p w:rsidR="00FD24FF" w:rsidRDefault="00FD24FF" w:rsidP="00FD24FF"/>
    <w:p w:rsidR="004116C6" w:rsidRDefault="004116C6" w:rsidP="008578F1">
      <w:pPr>
        <w:pStyle w:val="Nagwek1"/>
        <w:numPr>
          <w:ilvl w:val="0"/>
          <w:numId w:val="1"/>
        </w:numPr>
        <w:spacing w:after="240" w:line="276" w:lineRule="auto"/>
      </w:pPr>
      <w:bookmarkStart w:id="10" w:name="_Toc199087738"/>
      <w:r>
        <w:t>Równoważność rozwiązań.</w:t>
      </w:r>
      <w:bookmarkEnd w:id="10"/>
    </w:p>
    <w:p w:rsidR="004116C6" w:rsidRPr="00786ED6" w:rsidRDefault="004116C6">
      <w:pPr>
        <w:pStyle w:val="Akapitzlist"/>
        <w:numPr>
          <w:ilvl w:val="0"/>
          <w:numId w:val="23"/>
        </w:numPr>
        <w:spacing w:after="0" w:line="276" w:lineRule="auto"/>
        <w:ind w:left="284" w:hanging="284"/>
        <w:jc w:val="both"/>
      </w:pPr>
      <w:bookmarkStart w:id="11"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rsidR="004116C6" w:rsidRPr="00786ED6" w:rsidRDefault="004116C6">
      <w:pPr>
        <w:pStyle w:val="Akapitzlist"/>
        <w:numPr>
          <w:ilvl w:val="0"/>
          <w:numId w:val="23"/>
        </w:numPr>
        <w:spacing w:after="0" w:line="276" w:lineRule="auto"/>
        <w:ind w:left="284" w:hanging="284"/>
        <w:jc w:val="both"/>
      </w:pPr>
      <w:r w:rsidRPr="00786ED6">
        <w:t xml:space="preserve">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w:t>
      </w:r>
      <w:r w:rsidRPr="00786ED6">
        <w:lastRenderedPageBreak/>
        <w:t>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rsidR="004116C6" w:rsidRPr="00786ED6" w:rsidRDefault="004116C6">
      <w:pPr>
        <w:pStyle w:val="Akapitzlist"/>
        <w:numPr>
          <w:ilvl w:val="0"/>
          <w:numId w:val="23"/>
        </w:numPr>
        <w:spacing w:after="0" w:line="276" w:lineRule="auto"/>
        <w:ind w:left="284" w:hanging="284"/>
        <w:jc w:val="both"/>
      </w:pPr>
      <w:r w:rsidRPr="00786ED6">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rsidR="004116C6" w:rsidRDefault="004116C6">
      <w:pPr>
        <w:pStyle w:val="Akapitzlist"/>
        <w:numPr>
          <w:ilvl w:val="0"/>
          <w:numId w:val="23"/>
        </w:numPr>
        <w:spacing w:after="0" w:line="276" w:lineRule="auto"/>
        <w:ind w:left="284" w:hanging="284"/>
        <w:jc w:val="both"/>
      </w:pPr>
      <w:r>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p>
    <w:p w:rsidR="000149B0" w:rsidRDefault="00566FB1">
      <w:pPr>
        <w:pStyle w:val="Akapitzlist"/>
        <w:numPr>
          <w:ilvl w:val="0"/>
          <w:numId w:val="23"/>
        </w:numPr>
        <w:spacing w:after="0" w:line="276" w:lineRule="auto"/>
        <w:ind w:left="284" w:hanging="284"/>
        <w:jc w:val="both"/>
      </w:pPr>
      <w:r w:rsidRPr="00725057">
        <w:t>Za równoważne do normy PN-EN ISO/IEC 27001:2023 Zamawiający uzna inne normy dotyczące międzynarodowego standardu w zakresie bezpieczeństwa informacji obejmujące wymagania normy PN-EN ISO/IEC 27001:2023 określone w rozdziałach 4-10 tej normy.</w:t>
      </w:r>
    </w:p>
    <w:p w:rsidR="000149B0" w:rsidRDefault="000149B0">
      <w:r>
        <w:br w:type="page"/>
      </w:r>
    </w:p>
    <w:p w:rsidR="008B3E3A" w:rsidRPr="008B3E3A" w:rsidRDefault="008B3E3A" w:rsidP="008B1C76">
      <w:pPr>
        <w:pStyle w:val="Nagwek1"/>
        <w:numPr>
          <w:ilvl w:val="0"/>
          <w:numId w:val="1"/>
        </w:numPr>
        <w:spacing w:after="240" w:line="276" w:lineRule="auto"/>
      </w:pPr>
      <w:bookmarkStart w:id="12" w:name="_Toc199087739"/>
      <w:bookmarkEnd w:id="11"/>
      <w:r w:rsidRPr="008B3E3A">
        <w:lastRenderedPageBreak/>
        <w:t>Klauzula informacyjna FERC</w:t>
      </w:r>
      <w:r>
        <w:t>.</w:t>
      </w:r>
      <w:bookmarkEnd w:id="12"/>
    </w:p>
    <w:p w:rsidR="008B3E3A" w:rsidRPr="008B1C76" w:rsidRDefault="008B3E3A" w:rsidP="008B1C76">
      <w:pPr>
        <w:spacing w:after="0" w:line="276" w:lineRule="auto"/>
        <w:jc w:val="both"/>
        <w:rPr>
          <w:rFonts w:cstheme="minorHAnsi"/>
        </w:rPr>
      </w:pPr>
      <w:r w:rsidRPr="008B1C76">
        <w:rPr>
          <w:rFonts w:cstheme="minorHAnsi"/>
        </w:rPr>
        <w:t xml:space="preserve">W celu wykonania obowiązku nałożonego w drodze art. 13 i 14 RODO, w związku z art. 88 ustawy wdrożeniowej, informujemy o zasadach przetwarzania Państwa danych osobowych: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Administrator danych </w:t>
      </w:r>
    </w:p>
    <w:p w:rsidR="008B3E3A" w:rsidRPr="008B1C76" w:rsidRDefault="008B3E3A" w:rsidP="008B1C76">
      <w:pPr>
        <w:spacing w:after="0" w:line="276" w:lineRule="auto"/>
        <w:jc w:val="both"/>
        <w:rPr>
          <w:rFonts w:cstheme="minorHAnsi"/>
        </w:rPr>
      </w:pPr>
      <w:r w:rsidRPr="008B1C76">
        <w:rPr>
          <w:rFonts w:cstheme="minorHAnsi"/>
        </w:rPr>
        <w:t xml:space="preserve">Odrębnymi administratorami Państwa danych są: </w:t>
      </w:r>
    </w:p>
    <w:p w:rsidR="008B3E3A" w:rsidRPr="008B1C76" w:rsidRDefault="008B3E3A">
      <w:pPr>
        <w:numPr>
          <w:ilvl w:val="0"/>
          <w:numId w:val="24"/>
        </w:numPr>
        <w:spacing w:after="0" w:line="276" w:lineRule="auto"/>
        <w:jc w:val="both"/>
        <w:rPr>
          <w:rFonts w:cstheme="minorHAnsi"/>
        </w:rPr>
      </w:pPr>
      <w:r w:rsidRPr="008B1C76">
        <w:rPr>
          <w:rFonts w:cstheme="minorHAnsi"/>
        </w:rPr>
        <w:t xml:space="preserve">Minister Funduszy i Polityki Regionalnej (dalej jako </w:t>
      </w:r>
      <w:proofErr w:type="spellStart"/>
      <w:r w:rsidRPr="008B1C76">
        <w:rPr>
          <w:rFonts w:cstheme="minorHAnsi"/>
        </w:rPr>
        <w:t>MFiPR</w:t>
      </w:r>
      <w:proofErr w:type="spellEnd"/>
      <w:r w:rsidRPr="008B1C76">
        <w:rPr>
          <w:rFonts w:cstheme="minorHAnsi"/>
        </w:rPr>
        <w:t xml:space="preserve">), w zakresie w jakim pełni funkcję Instytucji Zarządzającej (IZ) Funduszami Europejskimi na Rozwój Cyfrowy 2021-2027 (dalej jako FERC) z siedzibą przy ul. Wspólnej 2/4, 00-926 Warszawa, </w:t>
      </w:r>
    </w:p>
    <w:p w:rsidR="008B3E3A" w:rsidRPr="008B1C76" w:rsidRDefault="008B3E3A">
      <w:pPr>
        <w:numPr>
          <w:ilvl w:val="0"/>
          <w:numId w:val="24"/>
        </w:numPr>
        <w:spacing w:after="0" w:line="276" w:lineRule="auto"/>
        <w:jc w:val="both"/>
        <w:rPr>
          <w:rFonts w:cstheme="minorHAnsi"/>
        </w:rPr>
      </w:pPr>
      <w:r w:rsidRPr="008B1C76">
        <w:rPr>
          <w:rFonts w:cstheme="minorHAnsi"/>
        </w:rPr>
        <w:t xml:space="preserve">Centrum Projektów Polska Cyfrowa (dalej jako CPPC) w zakresie w jakim pełni funkcje Instytucji Pośredniczącej (IP) FERC, z siedzibą przy ul. Spokojnej 13A, 01-044 Warszawa, </w:t>
      </w:r>
    </w:p>
    <w:p w:rsidR="008B3E3A" w:rsidRPr="008B1C76" w:rsidRDefault="008B3E3A">
      <w:pPr>
        <w:numPr>
          <w:ilvl w:val="0"/>
          <w:numId w:val="24"/>
        </w:numPr>
        <w:spacing w:after="0" w:line="276" w:lineRule="auto"/>
        <w:jc w:val="both"/>
        <w:rPr>
          <w:rFonts w:cstheme="minorHAnsi"/>
        </w:rPr>
      </w:pPr>
      <w:r w:rsidRPr="008B1C76">
        <w:rPr>
          <w:rFonts w:cstheme="minorHAnsi"/>
        </w:rPr>
        <w:t xml:space="preserve">Centrum Projektów Polska Cyfrowa (dalej jako CPPC) w zakresie w jakim pełni funkcje Beneficjenta FERC, z siedzibą przy ul. Spokojnej 13A, 01-044 Warszawa.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Cel przetwarzania danych </w:t>
      </w:r>
    </w:p>
    <w:p w:rsidR="008B3E3A" w:rsidRPr="008B1C76" w:rsidRDefault="008B3E3A" w:rsidP="008B1C76">
      <w:pPr>
        <w:spacing w:after="0" w:line="276" w:lineRule="auto"/>
        <w:jc w:val="both"/>
        <w:rPr>
          <w:rFonts w:cstheme="minorHAnsi"/>
        </w:rPr>
      </w:pPr>
      <w:r w:rsidRPr="008B1C76">
        <w:rPr>
          <w:rFonts w:cstheme="minorHAnsi"/>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Podstawa przetwarzania </w:t>
      </w:r>
    </w:p>
    <w:p w:rsidR="008B3E3A" w:rsidRPr="008B1C76" w:rsidRDefault="008B3E3A" w:rsidP="008B1C76">
      <w:pPr>
        <w:spacing w:after="0" w:line="276" w:lineRule="auto"/>
        <w:jc w:val="both"/>
        <w:rPr>
          <w:rFonts w:cstheme="minorHAnsi"/>
        </w:rPr>
      </w:pPr>
      <w:r w:rsidRPr="008B1C76">
        <w:rPr>
          <w:rFonts w:cstheme="minorHAnsi"/>
        </w:rPr>
        <w:t xml:space="preserve">Będziemy przetwarzać Państwa dane osobowe w związku z tym, że: </w:t>
      </w:r>
    </w:p>
    <w:p w:rsidR="008B3E3A" w:rsidRPr="008B1C76" w:rsidRDefault="008B3E3A" w:rsidP="008B1C76">
      <w:pPr>
        <w:spacing w:after="0" w:line="276" w:lineRule="auto"/>
        <w:jc w:val="both"/>
        <w:rPr>
          <w:rFonts w:cstheme="minorHAnsi"/>
        </w:rPr>
      </w:pPr>
      <w:r w:rsidRPr="008B1C76">
        <w:rPr>
          <w:rFonts w:cstheme="minorHAnsi"/>
        </w:rPr>
        <w:t xml:space="preserve">1. Zobowiązuje nas do tego prawo (art. 6 ust. 1 lit. c RODO): </w:t>
      </w:r>
    </w:p>
    <w:p w:rsidR="008B3E3A" w:rsidRPr="008B1C76" w:rsidRDefault="008B3E3A" w:rsidP="008B1C76">
      <w:pPr>
        <w:spacing w:after="0" w:line="276" w:lineRule="auto"/>
        <w:ind w:left="284"/>
        <w:jc w:val="both"/>
        <w:rPr>
          <w:rFonts w:cstheme="minorHAnsi"/>
        </w:rPr>
      </w:pPr>
      <w:r w:rsidRPr="008B1C76">
        <w:rPr>
          <w:rFonts w:cstheme="minorHAnsi"/>
        </w:rPr>
        <w:t xml:space="preserve">1) art. 87 ustawy wdrożeniowej, </w:t>
      </w:r>
    </w:p>
    <w:p w:rsidR="008B3E3A" w:rsidRPr="008B1C76" w:rsidRDefault="008B3E3A" w:rsidP="008B1C76">
      <w:pPr>
        <w:spacing w:after="0" w:line="276" w:lineRule="auto"/>
        <w:ind w:left="284"/>
        <w:jc w:val="both"/>
        <w:rPr>
          <w:rFonts w:cstheme="minorHAnsi"/>
        </w:rPr>
      </w:pPr>
      <w:r w:rsidRPr="008B1C76">
        <w:rPr>
          <w:rFonts w:cstheme="minorHAnsi"/>
        </w:rPr>
        <w:t xml:space="preserve">2) art. 61 ustawy z 28 kwietnia 2022 r. o zasadach realizacji zadań finansowanych ze środków europejskich w perspektywie finansowej 2021-2027 (Dz. U. z 2022 r. poz. 1079), </w:t>
      </w:r>
    </w:p>
    <w:p w:rsidR="008B3E3A" w:rsidRPr="008B1C76" w:rsidRDefault="008B3E3A" w:rsidP="008B1C76">
      <w:pPr>
        <w:spacing w:after="0" w:line="276" w:lineRule="auto"/>
        <w:ind w:left="284"/>
        <w:jc w:val="both"/>
        <w:rPr>
          <w:rFonts w:cstheme="minorHAnsi"/>
        </w:rPr>
      </w:pPr>
      <w:r w:rsidRPr="008B1C76">
        <w:rPr>
          <w:rFonts w:cstheme="minorHAnsi"/>
        </w:rPr>
        <w:t>3) ustawa z 14 czerwca 1960 r. - Kodeks postępowania administracyjnego (tekst jednolity Dz.U. z</w:t>
      </w:r>
      <w:r w:rsidR="008B1C76">
        <w:rPr>
          <w:rFonts w:cstheme="minorHAnsi"/>
        </w:rPr>
        <w:t> </w:t>
      </w:r>
      <w:r w:rsidRPr="008B1C76">
        <w:rPr>
          <w:rFonts w:cstheme="minorHAnsi"/>
        </w:rPr>
        <w:t xml:space="preserve">2023 r. poz. 775 z późn. zm.), </w:t>
      </w:r>
    </w:p>
    <w:p w:rsidR="008B3E3A" w:rsidRPr="008B1C76" w:rsidRDefault="008B3E3A" w:rsidP="008B1C76">
      <w:pPr>
        <w:spacing w:after="0" w:line="276" w:lineRule="auto"/>
        <w:ind w:left="284"/>
        <w:jc w:val="both"/>
        <w:rPr>
          <w:rFonts w:cstheme="minorHAnsi"/>
        </w:rPr>
      </w:pPr>
      <w:r w:rsidRPr="008B1C76">
        <w:rPr>
          <w:rFonts w:cstheme="minorHAnsi"/>
        </w:rPr>
        <w:t xml:space="preserve">4) art. 206 ustawy z dnia 27 sierpnia 2009 r. o finansach publicznych (tekst jednolity Dz. U. z 2022 r. poz. 1634, z późn. zm.), </w:t>
      </w:r>
    </w:p>
    <w:p w:rsidR="008B3E3A" w:rsidRPr="008B1C76" w:rsidRDefault="008B3E3A" w:rsidP="008B1C76">
      <w:pPr>
        <w:spacing w:after="0" w:line="276" w:lineRule="auto"/>
        <w:ind w:left="284"/>
        <w:jc w:val="both"/>
        <w:rPr>
          <w:rFonts w:cstheme="minorHAnsi"/>
        </w:rPr>
      </w:pPr>
      <w:r w:rsidRPr="008B1C76">
        <w:rPr>
          <w:rFonts w:cstheme="minorHAnsi"/>
        </w:rPr>
        <w:t>5) Porozumienie trójstronne w sprawie systemu realizacji programu „Fundusze Europejskie na Rozwój Cyfrowy 2021-2027” z 2.02.2023 r.,</w:t>
      </w:r>
    </w:p>
    <w:p w:rsidR="008B3E3A" w:rsidRPr="008B1C76" w:rsidRDefault="008B3E3A" w:rsidP="008B1C76">
      <w:pPr>
        <w:spacing w:after="0" w:line="276" w:lineRule="auto"/>
        <w:ind w:left="284"/>
        <w:jc w:val="both"/>
        <w:rPr>
          <w:rFonts w:cstheme="minorHAnsi"/>
        </w:rPr>
      </w:pPr>
      <w:r w:rsidRPr="008B1C76">
        <w:rPr>
          <w:rFonts w:cstheme="minorHAnsi"/>
        </w:rPr>
        <w:t>6) rozporządzenia Ministra Cyfryzacji z dnia 16 lutego 2023 r. w sprawie udzielania pomocy na rozwój infrastruktury szerokopasmowej w ramach programu Fundusze Europejskie na Rozwój Cyfrowy 2021–2027 (Dz. U. z 2023 r. poz. 405), Europejskie na Rozwój Cyfrowy 2021-2027” z</w:t>
      </w:r>
      <w:r w:rsidR="008B1C76">
        <w:rPr>
          <w:rFonts w:cstheme="minorHAnsi"/>
        </w:rPr>
        <w:t> </w:t>
      </w:r>
      <w:r w:rsidRPr="008B1C76">
        <w:rPr>
          <w:rFonts w:cstheme="minorHAnsi"/>
        </w:rPr>
        <w:t xml:space="preserve">2.02.2023 r., </w:t>
      </w:r>
    </w:p>
    <w:p w:rsidR="008B3E3A" w:rsidRPr="008B1C76" w:rsidRDefault="008B3E3A">
      <w:pPr>
        <w:numPr>
          <w:ilvl w:val="0"/>
          <w:numId w:val="29"/>
        </w:numPr>
        <w:spacing w:after="0" w:line="276" w:lineRule="auto"/>
        <w:ind w:left="284" w:hanging="284"/>
        <w:jc w:val="both"/>
        <w:rPr>
          <w:rFonts w:cstheme="minorHAnsi"/>
        </w:rPr>
      </w:pPr>
      <w:r w:rsidRPr="008B1C76">
        <w:rPr>
          <w:rFonts w:cstheme="minorHAnsi"/>
        </w:rPr>
        <w:t xml:space="preserve">Wykonujemy zadania w interesie publicznym lub sprawujemy powierzoną nam władzę publiczną (art. 6 ust. 1 lit. e RODO), </w:t>
      </w:r>
    </w:p>
    <w:p w:rsidR="008B3E3A" w:rsidRPr="008B1C76" w:rsidRDefault="008B3E3A">
      <w:pPr>
        <w:numPr>
          <w:ilvl w:val="0"/>
          <w:numId w:val="29"/>
        </w:numPr>
        <w:spacing w:after="0" w:line="276" w:lineRule="auto"/>
        <w:ind w:left="284" w:hanging="284"/>
        <w:jc w:val="both"/>
        <w:rPr>
          <w:rFonts w:cstheme="minorHAnsi"/>
        </w:rPr>
      </w:pPr>
      <w:r w:rsidRPr="008B1C76">
        <w:rPr>
          <w:rFonts w:cstheme="minorHAnsi"/>
        </w:rPr>
        <w:t xml:space="preserve">Przygotowujemy i realizujemy umowy, których są Państwo stroną, a przetwarzanie danych osobowych jest niezbędne do ich zawarcia i wykonania (art. 6 ust. 1 lit. b RODO).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Rodzaje przetwarzanych danych </w:t>
      </w:r>
    </w:p>
    <w:p w:rsidR="008B3E3A" w:rsidRPr="008B1C76" w:rsidRDefault="008B3E3A" w:rsidP="008B1C76">
      <w:pPr>
        <w:spacing w:after="0" w:line="276" w:lineRule="auto"/>
        <w:jc w:val="both"/>
        <w:rPr>
          <w:rFonts w:cstheme="minorHAnsi"/>
        </w:rPr>
      </w:pPr>
      <w:r w:rsidRPr="008B1C76">
        <w:rPr>
          <w:rFonts w:cstheme="minorHAnsi"/>
        </w:rPr>
        <w:t xml:space="preserve">Możemy przetwarzać następujące rodzaje Państwa danych: </w:t>
      </w:r>
    </w:p>
    <w:p w:rsidR="008B3E3A" w:rsidRPr="008B1C76" w:rsidRDefault="008B3E3A">
      <w:pPr>
        <w:numPr>
          <w:ilvl w:val="0"/>
          <w:numId w:val="25"/>
        </w:numPr>
        <w:spacing w:after="0" w:line="276" w:lineRule="auto"/>
        <w:jc w:val="both"/>
        <w:rPr>
          <w:rFonts w:cstheme="minorHAnsi"/>
        </w:rPr>
      </w:pPr>
      <w:r w:rsidRPr="008B1C76">
        <w:rPr>
          <w:rFonts w:cstheme="minorHAnsi"/>
        </w:rPr>
        <w:lastRenderedPageBreak/>
        <w:t xml:space="preserve">dane identyfikacyjne, wskazane w art. 87 ust. 2 pkt 1 ustawy wdrożeniowej, w tym: imię, nazwisko, adres, adres poczty elektronicznej, numer telefonu, numer faksu, PESEL, REGON, wykształcenie, identyfikatory internetowe, </w:t>
      </w:r>
    </w:p>
    <w:p w:rsidR="008B3E3A" w:rsidRPr="008B1C76" w:rsidRDefault="008B3E3A">
      <w:pPr>
        <w:numPr>
          <w:ilvl w:val="0"/>
          <w:numId w:val="25"/>
        </w:numPr>
        <w:spacing w:after="0" w:line="276" w:lineRule="auto"/>
        <w:jc w:val="both"/>
        <w:rPr>
          <w:rFonts w:cstheme="minorHAnsi"/>
        </w:rPr>
      </w:pPr>
      <w:r w:rsidRPr="008B1C76">
        <w:rPr>
          <w:rFonts w:cstheme="minorHAnsi"/>
        </w:rPr>
        <w:t xml:space="preserve">dane związane z zakresem uczestnictwa osób fizycznych w projekcie, wskazane w art. 87 ust. 2 pkt 2 ustawy wdrożeniowej, w tym w szczególności: wynagrodzenie, formę i okres zaangażowania w projekcie, </w:t>
      </w:r>
    </w:p>
    <w:p w:rsidR="008B3E3A" w:rsidRPr="008B1C76" w:rsidRDefault="008B3E3A">
      <w:pPr>
        <w:numPr>
          <w:ilvl w:val="0"/>
          <w:numId w:val="25"/>
        </w:numPr>
        <w:spacing w:after="0" w:line="276" w:lineRule="auto"/>
        <w:jc w:val="both"/>
        <w:rPr>
          <w:rFonts w:cstheme="minorHAnsi"/>
        </w:rPr>
      </w:pPr>
      <w:r w:rsidRPr="008B1C76">
        <w:rPr>
          <w:rFonts w:cstheme="minorHAnsi"/>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rsidR="008B3E3A" w:rsidRPr="008B1C76" w:rsidRDefault="008B3E3A">
      <w:pPr>
        <w:numPr>
          <w:ilvl w:val="0"/>
          <w:numId w:val="25"/>
        </w:numPr>
        <w:spacing w:after="0" w:line="276" w:lineRule="auto"/>
        <w:jc w:val="both"/>
        <w:rPr>
          <w:rFonts w:cstheme="minorHAnsi"/>
        </w:rPr>
      </w:pPr>
      <w:r w:rsidRPr="008B1C76">
        <w:rPr>
          <w:rFonts w:cstheme="minorHAnsi"/>
        </w:rPr>
        <w:t xml:space="preserve">dane dotyczące wizerunku i głosu osób uczestniczących w realizacji Programu lub biorących udział w wydarzeniach z nim związanych.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Dane pozyskujemy bezpośrednio od osób, których one dotyczą, albo od instytucji i podmiotów zaangażowanych w realizację FERC w tym w szczególności od wnioskodawców, beneficjentów, partnerów.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Dostęp do danych osobowych </w:t>
      </w:r>
    </w:p>
    <w:p w:rsidR="008B3E3A" w:rsidRPr="008B1C76" w:rsidRDefault="008B3E3A" w:rsidP="008B1C76">
      <w:pPr>
        <w:spacing w:after="0" w:line="276" w:lineRule="auto"/>
        <w:jc w:val="both"/>
        <w:rPr>
          <w:rFonts w:cstheme="minorHAnsi"/>
        </w:rPr>
      </w:pPr>
      <w:r w:rsidRPr="008B1C76">
        <w:rPr>
          <w:rFonts w:cstheme="minorHAnsi"/>
        </w:rPr>
        <w:t xml:space="preserve">Dostęp do Państwa danych osobowych mają pracownicy i współpracownicy </w:t>
      </w:r>
      <w:proofErr w:type="spellStart"/>
      <w:r w:rsidRPr="008B1C76">
        <w:rPr>
          <w:rFonts w:cstheme="minorHAnsi"/>
        </w:rPr>
        <w:t>MFiPR</w:t>
      </w:r>
      <w:proofErr w:type="spellEnd"/>
      <w:r w:rsidRPr="008B1C76">
        <w:rPr>
          <w:rFonts w:cstheme="minorHAnsi"/>
        </w:rPr>
        <w:t xml:space="preserve"> oraz CPPC. Ponadto Państwa dane osobowe mogą być powierzane lub udostępniane: </w:t>
      </w:r>
    </w:p>
    <w:p w:rsidR="008B3E3A" w:rsidRPr="008B1C76" w:rsidRDefault="008B3E3A">
      <w:pPr>
        <w:numPr>
          <w:ilvl w:val="0"/>
          <w:numId w:val="26"/>
        </w:numPr>
        <w:spacing w:after="0" w:line="276" w:lineRule="auto"/>
        <w:jc w:val="both"/>
        <w:rPr>
          <w:rFonts w:cstheme="minorHAnsi"/>
        </w:rPr>
      </w:pPr>
      <w:r w:rsidRPr="008B1C76">
        <w:rPr>
          <w:rFonts w:cstheme="minorHAnsi"/>
        </w:rPr>
        <w:t xml:space="preserve">podmiotom, w tym ekspertom, o których mowa w art. 80 ustawy wdrożeniowej, którym zleciliśmy wykonywanie zadań w ramach realizacji FERC, </w:t>
      </w:r>
    </w:p>
    <w:p w:rsidR="008B3E3A" w:rsidRPr="008B1C76" w:rsidRDefault="008B3E3A">
      <w:pPr>
        <w:numPr>
          <w:ilvl w:val="0"/>
          <w:numId w:val="26"/>
        </w:numPr>
        <w:spacing w:after="0" w:line="276" w:lineRule="auto"/>
        <w:jc w:val="both"/>
        <w:rPr>
          <w:rFonts w:cstheme="minorHAnsi"/>
        </w:rPr>
      </w:pPr>
      <w:r w:rsidRPr="008B1C76">
        <w:rPr>
          <w:rFonts w:cstheme="minorHAnsi"/>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B3E3A" w:rsidRPr="008B1C76" w:rsidRDefault="008B3E3A">
      <w:pPr>
        <w:numPr>
          <w:ilvl w:val="0"/>
          <w:numId w:val="26"/>
        </w:numPr>
        <w:spacing w:after="0" w:line="276" w:lineRule="auto"/>
        <w:jc w:val="both"/>
        <w:rPr>
          <w:rFonts w:cstheme="minorHAnsi"/>
        </w:rPr>
      </w:pPr>
      <w:r w:rsidRPr="008B1C76">
        <w:rPr>
          <w:rFonts w:cstheme="minorHAnsi"/>
        </w:rPr>
        <w:t xml:space="preserve">instytucjom Unii Europejskiej (UE) lub podmiotom, którym UE powierzyła zadania dotyczące wdrażania FERC; </w:t>
      </w:r>
    </w:p>
    <w:p w:rsidR="008B3E3A" w:rsidRPr="008B1C76" w:rsidRDefault="008B3E3A">
      <w:pPr>
        <w:numPr>
          <w:ilvl w:val="0"/>
          <w:numId w:val="26"/>
        </w:numPr>
        <w:spacing w:after="0" w:line="276" w:lineRule="auto"/>
        <w:jc w:val="both"/>
        <w:rPr>
          <w:rFonts w:cstheme="minorHAnsi"/>
        </w:rPr>
      </w:pPr>
      <w:r w:rsidRPr="008B1C76">
        <w:rPr>
          <w:rFonts w:cstheme="minorHAnsi"/>
        </w:rPr>
        <w:t>podmiotom, które wykonują dla nas usługi związane z obsługą i rozwojem systemów teleinformatycznych, a także zapewnieniem łączności, np. dostawcom rozwiązań IT i</w:t>
      </w:r>
      <w:r w:rsidR="008B1C76">
        <w:rPr>
          <w:rFonts w:cstheme="minorHAnsi"/>
        </w:rPr>
        <w:t> </w:t>
      </w:r>
      <w:r w:rsidRPr="008B1C76">
        <w:rPr>
          <w:rFonts w:cstheme="minorHAnsi"/>
        </w:rPr>
        <w:t xml:space="preserve">operatorom telekomunikacyjnym.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Okres przechowywania danych </w:t>
      </w:r>
    </w:p>
    <w:p w:rsidR="008B3E3A" w:rsidRPr="008B1C76" w:rsidRDefault="008B3E3A" w:rsidP="008B1C76">
      <w:pPr>
        <w:spacing w:after="0" w:line="276" w:lineRule="auto"/>
        <w:jc w:val="both"/>
        <w:rPr>
          <w:rFonts w:cstheme="minorHAnsi"/>
        </w:rPr>
      </w:pPr>
      <w:r w:rsidRPr="008B1C76">
        <w:rPr>
          <w:rFonts w:cstheme="minorHAnsi"/>
        </w:rPr>
        <w:t>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w:t>
      </w:r>
      <w:r w:rsidR="008B1C76">
        <w:rPr>
          <w:rFonts w:cstheme="minorHAnsi"/>
        </w:rPr>
        <w:t> </w:t>
      </w:r>
      <w:r w:rsidRPr="008B1C76">
        <w:rPr>
          <w:rFonts w:cstheme="minorHAnsi"/>
        </w:rPr>
        <w:t xml:space="preserve">pomocy de minimis oraz przepisów dotyczących podatku od towarów i usług.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Prawa osób, których dane dotyczą </w:t>
      </w:r>
    </w:p>
    <w:p w:rsidR="008B3E3A" w:rsidRPr="008B1C76" w:rsidRDefault="008B3E3A" w:rsidP="008B1C76">
      <w:pPr>
        <w:spacing w:after="0" w:line="276" w:lineRule="auto"/>
        <w:jc w:val="both"/>
        <w:rPr>
          <w:rFonts w:cstheme="minorHAnsi"/>
        </w:rPr>
      </w:pPr>
      <w:r w:rsidRPr="008B1C76">
        <w:rPr>
          <w:rFonts w:cstheme="minorHAnsi"/>
        </w:rPr>
        <w:t xml:space="preserve">Przysługują Państwu następujące prawa: </w:t>
      </w:r>
    </w:p>
    <w:p w:rsidR="008B3E3A" w:rsidRPr="008B1C76" w:rsidRDefault="008B3E3A">
      <w:pPr>
        <w:numPr>
          <w:ilvl w:val="0"/>
          <w:numId w:val="27"/>
        </w:numPr>
        <w:spacing w:after="0" w:line="276" w:lineRule="auto"/>
        <w:jc w:val="both"/>
        <w:rPr>
          <w:rFonts w:cstheme="minorHAnsi"/>
        </w:rPr>
      </w:pPr>
      <w:r w:rsidRPr="008B1C76">
        <w:rPr>
          <w:rFonts w:cstheme="minorHAnsi"/>
        </w:rPr>
        <w:lastRenderedPageBreak/>
        <w:t xml:space="preserve">dostępu do swoich danych osobowych oraz otrzymania ich kopii (art. 15 RODO), </w:t>
      </w:r>
    </w:p>
    <w:p w:rsidR="008B3E3A" w:rsidRPr="008B1C76" w:rsidRDefault="008B3E3A">
      <w:pPr>
        <w:numPr>
          <w:ilvl w:val="0"/>
          <w:numId w:val="27"/>
        </w:numPr>
        <w:spacing w:after="0" w:line="276" w:lineRule="auto"/>
        <w:jc w:val="both"/>
        <w:rPr>
          <w:rFonts w:cstheme="minorHAnsi"/>
        </w:rPr>
      </w:pPr>
      <w:r w:rsidRPr="008B1C76">
        <w:rPr>
          <w:rFonts w:cstheme="minorHAnsi"/>
        </w:rPr>
        <w:t xml:space="preserve">do sprostowania swoich danych (art. 16 RODO), </w:t>
      </w:r>
    </w:p>
    <w:p w:rsidR="008B3E3A" w:rsidRPr="008B1C76" w:rsidRDefault="008B3E3A">
      <w:pPr>
        <w:numPr>
          <w:ilvl w:val="0"/>
          <w:numId w:val="27"/>
        </w:numPr>
        <w:spacing w:after="0" w:line="276" w:lineRule="auto"/>
        <w:jc w:val="both"/>
        <w:rPr>
          <w:rFonts w:cstheme="minorHAnsi"/>
        </w:rPr>
      </w:pPr>
      <w:r w:rsidRPr="008B1C76">
        <w:rPr>
          <w:rFonts w:cstheme="minorHAnsi"/>
        </w:rPr>
        <w:t xml:space="preserve">do usunięcia swoich danych (art. 17 RODO) - jeśli dotyczy, </w:t>
      </w:r>
    </w:p>
    <w:p w:rsidR="008B3E3A" w:rsidRPr="008B1C76" w:rsidRDefault="008B3E3A">
      <w:pPr>
        <w:numPr>
          <w:ilvl w:val="0"/>
          <w:numId w:val="27"/>
        </w:numPr>
        <w:spacing w:after="0" w:line="276" w:lineRule="auto"/>
        <w:jc w:val="both"/>
        <w:rPr>
          <w:rFonts w:cstheme="minorHAnsi"/>
        </w:rPr>
      </w:pPr>
      <w:r w:rsidRPr="008B1C76">
        <w:rPr>
          <w:rFonts w:cstheme="minorHAnsi"/>
        </w:rPr>
        <w:t xml:space="preserve">do żądania od administratora ograniczenia przetwarzania swoich danych (art. 18 RODO), </w:t>
      </w:r>
    </w:p>
    <w:p w:rsidR="008B3E3A" w:rsidRPr="008B1C76" w:rsidRDefault="008B3E3A">
      <w:pPr>
        <w:numPr>
          <w:ilvl w:val="0"/>
          <w:numId w:val="27"/>
        </w:numPr>
        <w:spacing w:after="0" w:line="276" w:lineRule="auto"/>
        <w:jc w:val="both"/>
        <w:rPr>
          <w:rFonts w:cstheme="minorHAnsi"/>
        </w:rPr>
      </w:pPr>
      <w:r w:rsidRPr="008B1C76">
        <w:rPr>
          <w:rFonts w:cstheme="minorHAnsi"/>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rsidR="008B3E3A" w:rsidRPr="008B1C76" w:rsidRDefault="008B3E3A">
      <w:pPr>
        <w:numPr>
          <w:ilvl w:val="0"/>
          <w:numId w:val="27"/>
        </w:numPr>
        <w:spacing w:after="0" w:line="276" w:lineRule="auto"/>
        <w:jc w:val="both"/>
        <w:rPr>
          <w:rFonts w:cstheme="minorHAnsi"/>
        </w:rPr>
      </w:pPr>
      <w:r w:rsidRPr="008B1C76">
        <w:rPr>
          <w:rFonts w:cstheme="minorHAnsi"/>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Zautomatyzowane podejmowanie decyzji </w:t>
      </w:r>
    </w:p>
    <w:p w:rsidR="008B3E3A" w:rsidRPr="008B1C76" w:rsidRDefault="008B3E3A" w:rsidP="008B1C76">
      <w:pPr>
        <w:spacing w:after="0" w:line="276" w:lineRule="auto"/>
        <w:jc w:val="both"/>
        <w:rPr>
          <w:rFonts w:cstheme="minorHAnsi"/>
        </w:rPr>
      </w:pPr>
      <w:r w:rsidRPr="008B1C76">
        <w:rPr>
          <w:rFonts w:cstheme="minorHAnsi"/>
        </w:rPr>
        <w:t xml:space="preserve">Dane osobowe nie będą podlegały zautomatyzowanemu podejmowaniu decyzji, w tym profilowaniu.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Przekazywanie danych do państwa trzeciego </w:t>
      </w:r>
    </w:p>
    <w:p w:rsidR="008B3E3A" w:rsidRPr="008B1C76" w:rsidRDefault="008B3E3A" w:rsidP="008B1C76">
      <w:pPr>
        <w:spacing w:after="0" w:line="276" w:lineRule="auto"/>
        <w:jc w:val="both"/>
        <w:rPr>
          <w:rFonts w:cstheme="minorHAnsi"/>
        </w:rPr>
      </w:pPr>
      <w:r w:rsidRPr="008B1C76">
        <w:rPr>
          <w:rFonts w:cstheme="minorHAnsi"/>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w:t>
      </w:r>
      <w:r w:rsidR="008B1C76">
        <w:rPr>
          <w:rFonts w:cstheme="minorHAnsi"/>
        </w:rPr>
        <w:t> </w:t>
      </w:r>
      <w:r w:rsidRPr="008B1C76">
        <w:rPr>
          <w:rFonts w:cstheme="minorHAnsi"/>
        </w:rPr>
        <w:t xml:space="preserve">zachowaniem warunków określonych w art. 45 lub 46 RODO.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Kontakt z administratorem danych i Inspektorem Ochrony Danych </w:t>
      </w:r>
    </w:p>
    <w:p w:rsidR="008B3E3A" w:rsidRPr="008B1C76" w:rsidRDefault="008B3E3A" w:rsidP="008B1C76">
      <w:pPr>
        <w:spacing w:after="0" w:line="276" w:lineRule="auto"/>
        <w:jc w:val="both"/>
        <w:rPr>
          <w:rFonts w:cstheme="minorHAnsi"/>
        </w:rPr>
      </w:pPr>
      <w:r w:rsidRPr="008B1C76">
        <w:rPr>
          <w:rFonts w:cstheme="minorHAnsi"/>
        </w:rPr>
        <w:t xml:space="preserve">Jeśli mają Państwo pytania dotyczące przetwarzania przez CPPC danych osobowych, prosimy kontaktować z Inspektorami Ochrony Danych Osobowych (dalej jako IOD) w następujący sposób: </w:t>
      </w:r>
    </w:p>
    <w:p w:rsidR="008B3E3A" w:rsidRPr="008B1C76" w:rsidRDefault="008B3E3A" w:rsidP="008B1C76">
      <w:pPr>
        <w:spacing w:after="0" w:line="276" w:lineRule="auto"/>
        <w:jc w:val="both"/>
        <w:rPr>
          <w:rFonts w:cstheme="minorHAnsi"/>
        </w:rPr>
      </w:pPr>
      <w:r w:rsidRPr="008B1C76">
        <w:rPr>
          <w:rFonts w:cstheme="minorHAnsi"/>
        </w:rPr>
        <w:t xml:space="preserve">1. IOD </w:t>
      </w:r>
      <w:proofErr w:type="spellStart"/>
      <w:r w:rsidRPr="008B1C76">
        <w:rPr>
          <w:rFonts w:cstheme="minorHAnsi"/>
        </w:rPr>
        <w:t>MFiPR</w:t>
      </w:r>
      <w:proofErr w:type="spellEnd"/>
      <w:r w:rsidRPr="008B1C76">
        <w:rPr>
          <w:rFonts w:cstheme="minorHAnsi"/>
        </w:rPr>
        <w:t xml:space="preserve">: </w:t>
      </w:r>
    </w:p>
    <w:p w:rsidR="008B3E3A" w:rsidRPr="008B1C76" w:rsidRDefault="008B3E3A" w:rsidP="008B1C76">
      <w:pPr>
        <w:spacing w:after="0" w:line="276" w:lineRule="auto"/>
        <w:ind w:left="426"/>
        <w:jc w:val="both"/>
        <w:rPr>
          <w:rFonts w:cstheme="minorHAnsi"/>
        </w:rPr>
      </w:pPr>
      <w:r w:rsidRPr="008B1C76">
        <w:rPr>
          <w:rFonts w:cstheme="minorHAnsi"/>
        </w:rPr>
        <w:t xml:space="preserve">1) pocztą tradycyjną kierując korespondencję na adres: ul. Wspólna 2/4, 00-926 Warszawa, </w:t>
      </w:r>
    </w:p>
    <w:p w:rsidR="008B3E3A" w:rsidRPr="008B1C76" w:rsidRDefault="008B3E3A" w:rsidP="008B1C76">
      <w:pPr>
        <w:spacing w:after="0" w:line="276" w:lineRule="auto"/>
        <w:ind w:left="426"/>
        <w:jc w:val="both"/>
        <w:rPr>
          <w:rFonts w:cstheme="minorHAnsi"/>
        </w:rPr>
      </w:pPr>
      <w:r w:rsidRPr="008B1C76">
        <w:rPr>
          <w:rFonts w:cstheme="minorHAnsi"/>
        </w:rPr>
        <w:t xml:space="preserve">2) elektronicznie na adres e-mail: IOD@mfipr.gov.pl, </w:t>
      </w:r>
    </w:p>
    <w:p w:rsidR="008B3E3A" w:rsidRPr="008B1C76" w:rsidRDefault="008B3E3A" w:rsidP="008B1C76">
      <w:pPr>
        <w:spacing w:after="0" w:line="276" w:lineRule="auto"/>
        <w:jc w:val="both"/>
        <w:rPr>
          <w:rFonts w:cstheme="minorHAnsi"/>
        </w:rPr>
      </w:pPr>
      <w:r w:rsidRPr="008B1C76">
        <w:rPr>
          <w:rFonts w:cstheme="minorHAnsi"/>
        </w:rPr>
        <w:t xml:space="preserve">2. IOD CPPC: </w:t>
      </w:r>
    </w:p>
    <w:p w:rsidR="008B3E3A" w:rsidRPr="008B1C76" w:rsidRDefault="008B3E3A" w:rsidP="008B1C76">
      <w:pPr>
        <w:spacing w:after="0" w:line="276" w:lineRule="auto"/>
        <w:ind w:left="426"/>
        <w:jc w:val="both"/>
        <w:rPr>
          <w:rFonts w:cstheme="minorHAnsi"/>
        </w:rPr>
      </w:pPr>
      <w:r w:rsidRPr="008B1C76">
        <w:rPr>
          <w:rFonts w:cstheme="minorHAnsi"/>
        </w:rPr>
        <w:t xml:space="preserve">1) pocztą tradycyjną kierując korespondencję na adres: ul. Spokojna 13A, 01-044 Warszawa, </w:t>
      </w:r>
    </w:p>
    <w:p w:rsidR="008B3E3A" w:rsidRPr="008B1C76" w:rsidRDefault="008B3E3A" w:rsidP="008B1C76">
      <w:pPr>
        <w:spacing w:after="0" w:line="276" w:lineRule="auto"/>
        <w:ind w:left="426"/>
        <w:jc w:val="both"/>
        <w:rPr>
          <w:rFonts w:cstheme="minorHAnsi"/>
        </w:rPr>
      </w:pPr>
      <w:r w:rsidRPr="008B1C76">
        <w:rPr>
          <w:rFonts w:cstheme="minorHAnsi"/>
        </w:rPr>
        <w:t xml:space="preserve">2) elektronicznie na adres e-mail: bezpieczenstwo@cppc.gov.pl. </w:t>
      </w:r>
    </w:p>
    <w:p w:rsidR="008B3E3A" w:rsidRPr="008B1C76" w:rsidRDefault="008B3E3A" w:rsidP="008B1C76">
      <w:pPr>
        <w:spacing w:after="0" w:line="276" w:lineRule="auto"/>
        <w:jc w:val="both"/>
        <w:rPr>
          <w:rFonts w:cstheme="minorHAnsi"/>
        </w:rPr>
      </w:pPr>
    </w:p>
    <w:p w:rsidR="008B3E3A" w:rsidRPr="008B1C76" w:rsidRDefault="008B3E3A" w:rsidP="008B1C76">
      <w:pPr>
        <w:spacing w:after="0" w:line="276" w:lineRule="auto"/>
        <w:jc w:val="both"/>
        <w:rPr>
          <w:rFonts w:cstheme="minorHAnsi"/>
        </w:rPr>
      </w:pPr>
      <w:r w:rsidRPr="008B1C76">
        <w:rPr>
          <w:rFonts w:cstheme="minorHAnsi"/>
        </w:rPr>
        <w:t xml:space="preserve">Podstawa prawna: </w:t>
      </w:r>
    </w:p>
    <w:p w:rsidR="008B3E3A" w:rsidRPr="008B1C76" w:rsidRDefault="008B3E3A">
      <w:pPr>
        <w:numPr>
          <w:ilvl w:val="0"/>
          <w:numId w:val="28"/>
        </w:numPr>
        <w:spacing w:after="0" w:line="276" w:lineRule="auto"/>
        <w:jc w:val="both"/>
        <w:rPr>
          <w:rFonts w:cstheme="minorHAnsi"/>
        </w:rPr>
      </w:pPr>
      <w:r w:rsidRPr="008B1C76">
        <w:rPr>
          <w:rFonts w:cstheme="minorHAnsi"/>
        </w:rPr>
        <w:t xml:space="preserve">ustawa wdrożeniowa - ustawa z 28 kwietnia 2022 r. o zasadach realizacji zadań finansowanych ze środków europejskich w perspektywie finansowej 2021-2027 (Dz. U. z 2022 r., poz. 1079), </w:t>
      </w:r>
    </w:p>
    <w:p w:rsidR="008B3E3A" w:rsidRPr="008B3E3A" w:rsidRDefault="008B3E3A">
      <w:pPr>
        <w:numPr>
          <w:ilvl w:val="0"/>
          <w:numId w:val="28"/>
        </w:numPr>
        <w:spacing w:after="0" w:line="276" w:lineRule="auto"/>
        <w:jc w:val="both"/>
        <w:rPr>
          <w:rFonts w:cstheme="minorHAnsi"/>
          <w:sz w:val="20"/>
          <w:szCs w:val="20"/>
        </w:rPr>
      </w:pPr>
      <w:r w:rsidRPr="008B1C76">
        <w:rPr>
          <w:rFonts w:cstheme="minorHAnsi"/>
        </w:rPr>
        <w:t xml:space="preserve">RODO - rozporządzenie Parlamentu Europejskiego i Rady (UE) 2016/679 z 27 kwietnia 2016 r. w sprawie ochrony osób fizycznych w związku z przetwarzaniem danych osobowych i </w:t>
      </w:r>
      <w:r w:rsidR="008B1C76">
        <w:rPr>
          <w:rFonts w:cstheme="minorHAnsi"/>
        </w:rPr>
        <w:t> w </w:t>
      </w:r>
      <w:r w:rsidRPr="008B1C76">
        <w:rPr>
          <w:rFonts w:cstheme="minorHAnsi"/>
        </w:rPr>
        <w:t xml:space="preserve">sprawie swobodnego przepływu takich danych (Dz. Urz. UE. L 119 z 4 maja 2016 r., s.1-88; Dz. Urz. UE L 127 z 23 maja 2018, str. 2 oraz Dz. Urz. UE L 74 z 4 marca 2021, str. 35). </w:t>
      </w:r>
    </w:p>
    <w:p w:rsidR="004116C6" w:rsidRDefault="004116C6" w:rsidP="004116C6">
      <w:pPr>
        <w:spacing w:line="276" w:lineRule="auto"/>
        <w:jc w:val="both"/>
      </w:pPr>
    </w:p>
    <w:sectPr w:rsidR="004116C6" w:rsidSect="00176BE4">
      <w:footerReference w:type="default" r:id="rId8"/>
      <w:headerReference w:type="first" r:id="rId9"/>
      <w:footerReference w:type="first" r:id="rId10"/>
      <w:pgSz w:w="11906" w:h="16838"/>
      <w:pgMar w:top="1417" w:right="1417" w:bottom="1417" w:left="1417" w:header="34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61F" w:rsidRDefault="00DC261F" w:rsidP="00C145D9">
      <w:pPr>
        <w:spacing w:after="0" w:line="240" w:lineRule="auto"/>
      </w:pPr>
      <w:r>
        <w:separator/>
      </w:r>
    </w:p>
  </w:endnote>
  <w:endnote w:type="continuationSeparator" w:id="0">
    <w:p w:rsidR="00DC261F" w:rsidRDefault="00DC261F" w:rsidP="00C14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581468"/>
      <w:docPartObj>
        <w:docPartGallery w:val="Page Numbers (Bottom of Page)"/>
        <w:docPartUnique/>
      </w:docPartObj>
    </w:sdtPr>
    <w:sdtContent>
      <w:p w:rsidR="00CD1574" w:rsidRDefault="00A7171E">
        <w:pPr>
          <w:pStyle w:val="Stopka"/>
          <w:jc w:val="right"/>
        </w:pPr>
        <w:r>
          <w:fldChar w:fldCharType="begin"/>
        </w:r>
        <w:r w:rsidR="00CD1574">
          <w:instrText>PAGE   \* MERGEFORMAT</w:instrText>
        </w:r>
        <w:r>
          <w:fldChar w:fldCharType="separate"/>
        </w:r>
        <w:r w:rsidR="008F26B2">
          <w:rPr>
            <w:noProof/>
          </w:rPr>
          <w:t>2</w:t>
        </w:r>
        <w:r>
          <w:fldChar w:fldCharType="end"/>
        </w:r>
      </w:p>
    </w:sdtContent>
  </w:sdt>
  <w:p w:rsidR="00CD1574" w:rsidRDefault="00CD157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855217"/>
      <w:docPartObj>
        <w:docPartGallery w:val="Page Numbers (Bottom of Page)"/>
        <w:docPartUnique/>
      </w:docPartObj>
    </w:sdtPr>
    <w:sdtContent>
      <w:p w:rsidR="00CD1574" w:rsidRDefault="0089651A">
        <w:pPr>
          <w:pStyle w:val="Stopka"/>
          <w:jc w:val="right"/>
        </w:pPr>
        <w:r w:rsidRPr="00374948">
          <w:rPr>
            <w:noProof/>
            <w:lang w:eastAsia="pl-PL"/>
          </w:rPr>
          <w:drawing>
            <wp:anchor distT="0" distB="0" distL="114300" distR="114300" simplePos="0" relativeHeight="251661312" behindDoc="1" locked="0" layoutInCell="1" allowOverlap="1">
              <wp:simplePos x="0" y="0"/>
              <wp:positionH relativeFrom="margin">
                <wp:posOffset>1485900</wp:posOffset>
              </wp:positionH>
              <wp:positionV relativeFrom="paragraph">
                <wp:posOffset>71120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49880" cy="511175"/>
                      </a:xfrm>
                      <a:prstGeom prst="rect">
                        <a:avLst/>
                      </a:prstGeom>
                    </pic:spPr>
                  </pic:pic>
                </a:graphicData>
              </a:graphic>
            </wp:anchor>
          </w:drawing>
        </w:r>
        <w:r w:rsidR="00A7171E">
          <w:fldChar w:fldCharType="begin"/>
        </w:r>
        <w:r w:rsidR="00CD1574">
          <w:instrText>PAGE   \* MERGEFORMAT</w:instrText>
        </w:r>
        <w:r w:rsidR="00A7171E">
          <w:fldChar w:fldCharType="separate"/>
        </w:r>
        <w:r w:rsidR="008F26B2">
          <w:rPr>
            <w:noProof/>
          </w:rPr>
          <w:t>1</w:t>
        </w:r>
        <w:r w:rsidR="00A7171E">
          <w:fldChar w:fldCharType="end"/>
        </w:r>
      </w:p>
    </w:sdtContent>
  </w:sdt>
  <w:p w:rsidR="00CD1574" w:rsidRDefault="00CD15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61F" w:rsidRDefault="00DC261F" w:rsidP="00C145D9">
      <w:pPr>
        <w:spacing w:after="0" w:line="240" w:lineRule="auto"/>
      </w:pPr>
      <w:r>
        <w:separator/>
      </w:r>
    </w:p>
  </w:footnote>
  <w:footnote w:type="continuationSeparator" w:id="0">
    <w:p w:rsidR="00DC261F" w:rsidRDefault="00DC261F" w:rsidP="00C145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B3" w:rsidRDefault="0089651A" w:rsidP="007B02B3">
    <w:pPr>
      <w:pStyle w:val="Nagwek"/>
    </w:pPr>
    <w:r>
      <w:rPr>
        <w:noProof/>
        <w:lang w:eastAsia="pl-PL"/>
      </w:rPr>
      <w:drawing>
        <wp:anchor distT="0" distB="0" distL="114300" distR="114300" simplePos="0" relativeHeight="251659264" behindDoc="1" locked="0" layoutInCell="1" allowOverlap="1">
          <wp:simplePos x="0" y="0"/>
          <wp:positionH relativeFrom="margin">
            <wp:posOffset>-373380</wp:posOffset>
          </wp:positionH>
          <wp:positionV relativeFrom="paragraph">
            <wp:posOffset>-99695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361B2"/>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146D4567"/>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0B12144"/>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618719E"/>
    <w:multiLevelType w:val="hybridMultilevel"/>
    <w:tmpl w:val="6304247E"/>
    <w:lvl w:ilvl="0" w:tplc="62E6911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9856F40"/>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9774A9"/>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0970935"/>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8DA767A"/>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7E5733E4"/>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7"/>
  </w:num>
  <w:num w:numId="3">
    <w:abstractNumId w:val="27"/>
  </w:num>
  <w:num w:numId="4">
    <w:abstractNumId w:val="19"/>
  </w:num>
  <w:num w:numId="5">
    <w:abstractNumId w:val="1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lvlOverride w:ilvl="2"/>
    <w:lvlOverride w:ilvl="3"/>
    <w:lvlOverride w:ilvl="4"/>
    <w:lvlOverride w:ilvl="5"/>
    <w:lvlOverride w:ilvl="6"/>
    <w:lvlOverride w:ilvl="7"/>
    <w:lvlOverride w:ilvl="8"/>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lvlOverride w:ilvl="2"/>
    <w:lvlOverride w:ilvl="3"/>
    <w:lvlOverride w:ilvl="4"/>
    <w:lvlOverride w:ilvl="5"/>
    <w:lvlOverride w:ilvl="6"/>
    <w:lvlOverride w:ilvl="7"/>
    <w:lvlOverride w:ilv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21"/>
  </w:num>
  <w:num w:numId="23">
    <w:abstractNumId w:val="29"/>
  </w:num>
  <w:num w:numId="24">
    <w:abstractNumId w:val="2"/>
  </w:num>
  <w:num w:numId="25">
    <w:abstractNumId w:val="10"/>
  </w:num>
  <w:num w:numId="26">
    <w:abstractNumId w:val="4"/>
  </w:num>
  <w:num w:numId="27">
    <w:abstractNumId w:val="16"/>
  </w:num>
  <w:num w:numId="28">
    <w:abstractNumId w:val="13"/>
  </w:num>
  <w:num w:numId="29">
    <w:abstractNumId w:val="18"/>
  </w:num>
  <w:num w:numId="30">
    <w:abstractNumId w:val="37"/>
  </w:num>
  <w:num w:numId="31">
    <w:abstractNumId w:val="28"/>
  </w:num>
  <w:num w:numId="32">
    <w:abstractNumId w:val="22"/>
  </w:num>
  <w:num w:numId="33">
    <w:abstractNumId w:val="0"/>
  </w:num>
  <w:num w:numId="34">
    <w:abstractNumId w:val="9"/>
  </w:num>
  <w:num w:numId="35">
    <w:abstractNumId w:val="24"/>
  </w:num>
  <w:num w:numId="36">
    <w:abstractNumId w:val="5"/>
  </w:num>
  <w:num w:numId="37">
    <w:abstractNumId w:val="15"/>
  </w:num>
  <w:num w:numId="38">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267E0"/>
    <w:rsid w:val="00012B0B"/>
    <w:rsid w:val="000149B0"/>
    <w:rsid w:val="00017728"/>
    <w:rsid w:val="00027B96"/>
    <w:rsid w:val="000337A0"/>
    <w:rsid w:val="00060CAA"/>
    <w:rsid w:val="00075959"/>
    <w:rsid w:val="000A6C51"/>
    <w:rsid w:val="000B38F0"/>
    <w:rsid w:val="000C55DB"/>
    <w:rsid w:val="000D6C08"/>
    <w:rsid w:val="000E6BA0"/>
    <w:rsid w:val="000F6B70"/>
    <w:rsid w:val="001042D4"/>
    <w:rsid w:val="001079CB"/>
    <w:rsid w:val="001226AC"/>
    <w:rsid w:val="00122D52"/>
    <w:rsid w:val="001306FF"/>
    <w:rsid w:val="00142EB5"/>
    <w:rsid w:val="00151E74"/>
    <w:rsid w:val="00151ECF"/>
    <w:rsid w:val="001544AF"/>
    <w:rsid w:val="001626A6"/>
    <w:rsid w:val="00163B9A"/>
    <w:rsid w:val="00172485"/>
    <w:rsid w:val="00176BE4"/>
    <w:rsid w:val="0019043E"/>
    <w:rsid w:val="001944A2"/>
    <w:rsid w:val="001A512F"/>
    <w:rsid w:val="001B6D1A"/>
    <w:rsid w:val="001B7D97"/>
    <w:rsid w:val="001C75E5"/>
    <w:rsid w:val="001E5A5C"/>
    <w:rsid w:val="00200065"/>
    <w:rsid w:val="00203A7C"/>
    <w:rsid w:val="00210DD0"/>
    <w:rsid w:val="002139DC"/>
    <w:rsid w:val="00227953"/>
    <w:rsid w:val="00243B3C"/>
    <w:rsid w:val="002874D7"/>
    <w:rsid w:val="00294038"/>
    <w:rsid w:val="00296F80"/>
    <w:rsid w:val="002A0714"/>
    <w:rsid w:val="002B5965"/>
    <w:rsid w:val="002B6F5E"/>
    <w:rsid w:val="002D2D53"/>
    <w:rsid w:val="002F281C"/>
    <w:rsid w:val="002F5A8E"/>
    <w:rsid w:val="0031011E"/>
    <w:rsid w:val="0032269A"/>
    <w:rsid w:val="00324A35"/>
    <w:rsid w:val="00327375"/>
    <w:rsid w:val="00337FB9"/>
    <w:rsid w:val="00352BE6"/>
    <w:rsid w:val="00353EF6"/>
    <w:rsid w:val="00354549"/>
    <w:rsid w:val="00356CC9"/>
    <w:rsid w:val="0037753B"/>
    <w:rsid w:val="00380485"/>
    <w:rsid w:val="00382F46"/>
    <w:rsid w:val="003905D4"/>
    <w:rsid w:val="00393887"/>
    <w:rsid w:val="0039674B"/>
    <w:rsid w:val="00397668"/>
    <w:rsid w:val="003A0366"/>
    <w:rsid w:val="003C32EB"/>
    <w:rsid w:val="003F24E7"/>
    <w:rsid w:val="003F600C"/>
    <w:rsid w:val="004012C6"/>
    <w:rsid w:val="004057D0"/>
    <w:rsid w:val="00405BFE"/>
    <w:rsid w:val="004105B8"/>
    <w:rsid w:val="004116C6"/>
    <w:rsid w:val="00413FA5"/>
    <w:rsid w:val="00422ABB"/>
    <w:rsid w:val="00422E49"/>
    <w:rsid w:val="004269A2"/>
    <w:rsid w:val="004409EE"/>
    <w:rsid w:val="00462B77"/>
    <w:rsid w:val="00471ECE"/>
    <w:rsid w:val="004800D6"/>
    <w:rsid w:val="0048694A"/>
    <w:rsid w:val="004D6423"/>
    <w:rsid w:val="004E272A"/>
    <w:rsid w:val="004F3A8D"/>
    <w:rsid w:val="004F3A9B"/>
    <w:rsid w:val="004F6CF2"/>
    <w:rsid w:val="005256FF"/>
    <w:rsid w:val="00546BF4"/>
    <w:rsid w:val="0055219C"/>
    <w:rsid w:val="00563471"/>
    <w:rsid w:val="00565B03"/>
    <w:rsid w:val="00566FB1"/>
    <w:rsid w:val="005727EB"/>
    <w:rsid w:val="005732DF"/>
    <w:rsid w:val="005803B8"/>
    <w:rsid w:val="005873D6"/>
    <w:rsid w:val="00587EFF"/>
    <w:rsid w:val="005B4EA1"/>
    <w:rsid w:val="005B5ECD"/>
    <w:rsid w:val="005C0677"/>
    <w:rsid w:val="005C74A7"/>
    <w:rsid w:val="005D1AFC"/>
    <w:rsid w:val="005D3DCF"/>
    <w:rsid w:val="005E0929"/>
    <w:rsid w:val="005F6A9C"/>
    <w:rsid w:val="00602643"/>
    <w:rsid w:val="00605855"/>
    <w:rsid w:val="0061213D"/>
    <w:rsid w:val="006176C3"/>
    <w:rsid w:val="00624344"/>
    <w:rsid w:val="00635EFD"/>
    <w:rsid w:val="0064634F"/>
    <w:rsid w:val="006468BC"/>
    <w:rsid w:val="00661692"/>
    <w:rsid w:val="00665CD4"/>
    <w:rsid w:val="00677A5D"/>
    <w:rsid w:val="00690B33"/>
    <w:rsid w:val="00697FEE"/>
    <w:rsid w:val="006A0AD5"/>
    <w:rsid w:val="006A0B0B"/>
    <w:rsid w:val="006B1E5F"/>
    <w:rsid w:val="006D1916"/>
    <w:rsid w:val="006D1CE8"/>
    <w:rsid w:val="006E556B"/>
    <w:rsid w:val="006F3F6C"/>
    <w:rsid w:val="0073506A"/>
    <w:rsid w:val="00742EC3"/>
    <w:rsid w:val="007439FF"/>
    <w:rsid w:val="007448F4"/>
    <w:rsid w:val="00747419"/>
    <w:rsid w:val="00750352"/>
    <w:rsid w:val="00753EFC"/>
    <w:rsid w:val="00761275"/>
    <w:rsid w:val="00771245"/>
    <w:rsid w:val="00785FD9"/>
    <w:rsid w:val="00786ED6"/>
    <w:rsid w:val="00790376"/>
    <w:rsid w:val="00791DCD"/>
    <w:rsid w:val="007A3388"/>
    <w:rsid w:val="007A3DA6"/>
    <w:rsid w:val="007B02B3"/>
    <w:rsid w:val="007B72C4"/>
    <w:rsid w:val="007B7DFA"/>
    <w:rsid w:val="007D0063"/>
    <w:rsid w:val="007E0C6D"/>
    <w:rsid w:val="007E279E"/>
    <w:rsid w:val="007F2DB9"/>
    <w:rsid w:val="007F37DF"/>
    <w:rsid w:val="00800B99"/>
    <w:rsid w:val="00816B3E"/>
    <w:rsid w:val="00821ADE"/>
    <w:rsid w:val="00822353"/>
    <w:rsid w:val="008232EF"/>
    <w:rsid w:val="00853C76"/>
    <w:rsid w:val="008578F1"/>
    <w:rsid w:val="00867F89"/>
    <w:rsid w:val="00871B36"/>
    <w:rsid w:val="00882737"/>
    <w:rsid w:val="00893B2E"/>
    <w:rsid w:val="00893FC9"/>
    <w:rsid w:val="0089651A"/>
    <w:rsid w:val="008A6882"/>
    <w:rsid w:val="008B1C76"/>
    <w:rsid w:val="008B3E3A"/>
    <w:rsid w:val="008C2CEA"/>
    <w:rsid w:val="008D30D1"/>
    <w:rsid w:val="008D5DE8"/>
    <w:rsid w:val="008E2757"/>
    <w:rsid w:val="008E5F83"/>
    <w:rsid w:val="008F26B2"/>
    <w:rsid w:val="008F3618"/>
    <w:rsid w:val="00925358"/>
    <w:rsid w:val="0093593E"/>
    <w:rsid w:val="0094085C"/>
    <w:rsid w:val="009472AB"/>
    <w:rsid w:val="00953F88"/>
    <w:rsid w:val="00956440"/>
    <w:rsid w:val="00965710"/>
    <w:rsid w:val="00976328"/>
    <w:rsid w:val="00976D1F"/>
    <w:rsid w:val="009918AC"/>
    <w:rsid w:val="009A0044"/>
    <w:rsid w:val="009A76C0"/>
    <w:rsid w:val="009B149F"/>
    <w:rsid w:val="009D5D75"/>
    <w:rsid w:val="009E162B"/>
    <w:rsid w:val="009E5A41"/>
    <w:rsid w:val="009E5B74"/>
    <w:rsid w:val="00A00998"/>
    <w:rsid w:val="00A03D2F"/>
    <w:rsid w:val="00A11B0A"/>
    <w:rsid w:val="00A138C9"/>
    <w:rsid w:val="00A150A7"/>
    <w:rsid w:val="00A20F2B"/>
    <w:rsid w:val="00A350F6"/>
    <w:rsid w:val="00A46045"/>
    <w:rsid w:val="00A60074"/>
    <w:rsid w:val="00A63A24"/>
    <w:rsid w:val="00A7171E"/>
    <w:rsid w:val="00A922E9"/>
    <w:rsid w:val="00A975DA"/>
    <w:rsid w:val="00AA4C83"/>
    <w:rsid w:val="00AB672B"/>
    <w:rsid w:val="00AC2ABB"/>
    <w:rsid w:val="00AC571B"/>
    <w:rsid w:val="00AD0215"/>
    <w:rsid w:val="00AD2DBB"/>
    <w:rsid w:val="00AF786E"/>
    <w:rsid w:val="00AF7FBB"/>
    <w:rsid w:val="00B04EC6"/>
    <w:rsid w:val="00B0696D"/>
    <w:rsid w:val="00B14804"/>
    <w:rsid w:val="00B55CF0"/>
    <w:rsid w:val="00B6402F"/>
    <w:rsid w:val="00B87D65"/>
    <w:rsid w:val="00B9115C"/>
    <w:rsid w:val="00B9254A"/>
    <w:rsid w:val="00BC5376"/>
    <w:rsid w:val="00BC5AD0"/>
    <w:rsid w:val="00BC750A"/>
    <w:rsid w:val="00C07B97"/>
    <w:rsid w:val="00C123B8"/>
    <w:rsid w:val="00C12C01"/>
    <w:rsid w:val="00C145D9"/>
    <w:rsid w:val="00C1538C"/>
    <w:rsid w:val="00C17C6E"/>
    <w:rsid w:val="00C17D53"/>
    <w:rsid w:val="00C21678"/>
    <w:rsid w:val="00C2530E"/>
    <w:rsid w:val="00C267E0"/>
    <w:rsid w:val="00C5647C"/>
    <w:rsid w:val="00C65D63"/>
    <w:rsid w:val="00C666C8"/>
    <w:rsid w:val="00C81040"/>
    <w:rsid w:val="00C834D4"/>
    <w:rsid w:val="00C95838"/>
    <w:rsid w:val="00C963CA"/>
    <w:rsid w:val="00CC33BC"/>
    <w:rsid w:val="00CC4F63"/>
    <w:rsid w:val="00CC5E1B"/>
    <w:rsid w:val="00CD1574"/>
    <w:rsid w:val="00CE4B3B"/>
    <w:rsid w:val="00CE6FE7"/>
    <w:rsid w:val="00CF2B93"/>
    <w:rsid w:val="00CF3FFD"/>
    <w:rsid w:val="00D03FDF"/>
    <w:rsid w:val="00D462A6"/>
    <w:rsid w:val="00D6282C"/>
    <w:rsid w:val="00D65740"/>
    <w:rsid w:val="00D664C2"/>
    <w:rsid w:val="00D66D6D"/>
    <w:rsid w:val="00D75233"/>
    <w:rsid w:val="00D7612E"/>
    <w:rsid w:val="00D76893"/>
    <w:rsid w:val="00D82CD2"/>
    <w:rsid w:val="00DC0A3C"/>
    <w:rsid w:val="00DC1050"/>
    <w:rsid w:val="00DC261F"/>
    <w:rsid w:val="00DD1F32"/>
    <w:rsid w:val="00DD5D0B"/>
    <w:rsid w:val="00DD6586"/>
    <w:rsid w:val="00DE4DA0"/>
    <w:rsid w:val="00DE56F8"/>
    <w:rsid w:val="00DF40B5"/>
    <w:rsid w:val="00DF4C3B"/>
    <w:rsid w:val="00E205C9"/>
    <w:rsid w:val="00E30491"/>
    <w:rsid w:val="00E305C1"/>
    <w:rsid w:val="00E31FA7"/>
    <w:rsid w:val="00E7571F"/>
    <w:rsid w:val="00E77282"/>
    <w:rsid w:val="00EA5AD8"/>
    <w:rsid w:val="00EC6166"/>
    <w:rsid w:val="00EC744B"/>
    <w:rsid w:val="00EF3894"/>
    <w:rsid w:val="00EF74C3"/>
    <w:rsid w:val="00F03844"/>
    <w:rsid w:val="00F06290"/>
    <w:rsid w:val="00F074B4"/>
    <w:rsid w:val="00F147FA"/>
    <w:rsid w:val="00F15B6C"/>
    <w:rsid w:val="00F206CF"/>
    <w:rsid w:val="00F27778"/>
    <w:rsid w:val="00F313C2"/>
    <w:rsid w:val="00F36DDB"/>
    <w:rsid w:val="00F425DD"/>
    <w:rsid w:val="00F44ECA"/>
    <w:rsid w:val="00F539A2"/>
    <w:rsid w:val="00F6185A"/>
    <w:rsid w:val="00FA0585"/>
    <w:rsid w:val="00FA4980"/>
    <w:rsid w:val="00FB421D"/>
    <w:rsid w:val="00FB5D2E"/>
    <w:rsid w:val="00FB61DD"/>
    <w:rsid w:val="00FD0BD0"/>
    <w:rsid w:val="00FD24FF"/>
    <w:rsid w:val="00FD31D4"/>
    <w:rsid w:val="00FD546F"/>
    <w:rsid w:val="00FD5722"/>
    <w:rsid w:val="00FD67F9"/>
    <w:rsid w:val="00FE62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171E"/>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079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057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
    <w:basedOn w:val="Normalny"/>
    <w:link w:val="AkapitzlistZnak"/>
    <w:uiPriority w:val="34"/>
    <w:qFormat/>
    <w:rsid w:val="00A922E9"/>
    <w:pPr>
      <w:ind w:left="720"/>
      <w:contextualSpacing/>
    </w:pPr>
  </w:style>
  <w:style w:type="table" w:customStyle="1" w:styleId="PlainTable1">
    <w:name w:val="Plain Table 1"/>
    <w:basedOn w:val="Standardowy"/>
    <w:uiPriority w:val="41"/>
    <w:rsid w:val="00422E4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Standardowy"/>
    <w:uiPriority w:val="40"/>
    <w:rsid w:val="00422E4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 w:type="character" w:customStyle="1" w:styleId="Nagwek2Znak">
    <w:name w:val="Nagłówek 2 Znak"/>
    <w:basedOn w:val="Domylnaczcionkaakapitu"/>
    <w:link w:val="Nagwek2"/>
    <w:uiPriority w:val="9"/>
    <w:semiHidden/>
    <w:rsid w:val="001079C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4057D0"/>
    <w:rPr>
      <w:rFonts w:asciiTheme="majorHAnsi" w:eastAsiaTheme="majorEastAsia" w:hAnsiTheme="majorHAnsi" w:cstheme="majorBidi"/>
      <w:color w:val="1F3763" w:themeColor="accent1" w:themeShade="7F"/>
      <w:sz w:val="24"/>
      <w:szCs w:val="24"/>
    </w:rPr>
  </w:style>
  <w:style w:type="paragraph" w:styleId="Tekstdymka">
    <w:name w:val="Balloon Text"/>
    <w:basedOn w:val="Normalny"/>
    <w:link w:val="TekstdymkaZnak"/>
    <w:uiPriority w:val="99"/>
    <w:semiHidden/>
    <w:unhideWhenUsed/>
    <w:rsid w:val="008F26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6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361634220">
      <w:bodyDiv w:val="1"/>
      <w:marLeft w:val="0"/>
      <w:marRight w:val="0"/>
      <w:marTop w:val="0"/>
      <w:marBottom w:val="0"/>
      <w:divBdr>
        <w:top w:val="none" w:sz="0" w:space="0" w:color="auto"/>
        <w:left w:val="none" w:sz="0" w:space="0" w:color="auto"/>
        <w:bottom w:val="none" w:sz="0" w:space="0" w:color="auto"/>
        <w:right w:val="none" w:sz="0" w:space="0" w:color="auto"/>
      </w:divBdr>
    </w:div>
    <w:div w:id="444926000">
      <w:bodyDiv w:val="1"/>
      <w:marLeft w:val="0"/>
      <w:marRight w:val="0"/>
      <w:marTop w:val="0"/>
      <w:marBottom w:val="0"/>
      <w:divBdr>
        <w:top w:val="none" w:sz="0" w:space="0" w:color="auto"/>
        <w:left w:val="none" w:sz="0" w:space="0" w:color="auto"/>
        <w:bottom w:val="none" w:sz="0" w:space="0" w:color="auto"/>
        <w:right w:val="none" w:sz="0" w:space="0" w:color="auto"/>
      </w:divBdr>
    </w:div>
    <w:div w:id="609506766">
      <w:bodyDiv w:val="1"/>
      <w:marLeft w:val="0"/>
      <w:marRight w:val="0"/>
      <w:marTop w:val="0"/>
      <w:marBottom w:val="0"/>
      <w:divBdr>
        <w:top w:val="none" w:sz="0" w:space="0" w:color="auto"/>
        <w:left w:val="none" w:sz="0" w:space="0" w:color="auto"/>
        <w:bottom w:val="none" w:sz="0" w:space="0" w:color="auto"/>
        <w:right w:val="none" w:sz="0" w:space="0" w:color="auto"/>
      </w:divBdr>
    </w:div>
    <w:div w:id="680277861">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 w:id="1197738604">
      <w:bodyDiv w:val="1"/>
      <w:marLeft w:val="0"/>
      <w:marRight w:val="0"/>
      <w:marTop w:val="0"/>
      <w:marBottom w:val="0"/>
      <w:divBdr>
        <w:top w:val="none" w:sz="0" w:space="0" w:color="auto"/>
        <w:left w:val="none" w:sz="0" w:space="0" w:color="auto"/>
        <w:bottom w:val="none" w:sz="0" w:space="0" w:color="auto"/>
        <w:right w:val="none" w:sz="0" w:space="0" w:color="auto"/>
      </w:divBdr>
    </w:div>
    <w:div w:id="1804736997">
      <w:bodyDiv w:val="1"/>
      <w:marLeft w:val="0"/>
      <w:marRight w:val="0"/>
      <w:marTop w:val="0"/>
      <w:marBottom w:val="0"/>
      <w:divBdr>
        <w:top w:val="none" w:sz="0" w:space="0" w:color="auto"/>
        <w:left w:val="none" w:sz="0" w:space="0" w:color="auto"/>
        <w:bottom w:val="none" w:sz="0" w:space="0" w:color="auto"/>
        <w:right w:val="none" w:sz="0" w:space="0" w:color="auto"/>
      </w:divBdr>
    </w:div>
    <w:div w:id="1984768175">
      <w:bodyDiv w:val="1"/>
      <w:marLeft w:val="0"/>
      <w:marRight w:val="0"/>
      <w:marTop w:val="0"/>
      <w:marBottom w:val="0"/>
      <w:divBdr>
        <w:top w:val="none" w:sz="0" w:space="0" w:color="auto"/>
        <w:left w:val="none" w:sz="0" w:space="0" w:color="auto"/>
        <w:bottom w:val="none" w:sz="0" w:space="0" w:color="auto"/>
        <w:right w:val="none" w:sz="0" w:space="0" w:color="auto"/>
      </w:divBdr>
    </w:div>
    <w:div w:id="20549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ACBA-94BA-4ACB-A102-BE4FC0CE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7008</Words>
  <Characters>42048</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2025-05-30T06:29:00Z</dcterms:created>
  <dcterms:modified xsi:type="dcterms:W3CDTF">2025-05-30T06:29:00Z</dcterms:modified>
</cp:coreProperties>
</file>